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199F" w:rsidRPr="00ED2F0D" w:rsidRDefault="00AE199F" w:rsidP="009A3DE7">
      <w:pPr>
        <w:spacing w:before="120" w:after="120"/>
        <w:jc w:val="both"/>
        <w:rPr>
          <w:rFonts w:cs="Arial"/>
          <w:sz w:val="20"/>
          <w:szCs w:val="20"/>
        </w:rPr>
      </w:pPr>
      <w:bookmarkStart w:id="0" w:name="_GoBack"/>
      <w:bookmarkEnd w:id="0"/>
      <w:r w:rsidRPr="00ED2F0D">
        <w:rPr>
          <w:rFonts w:cs="Arial"/>
          <w:b/>
          <w:bCs/>
          <w:sz w:val="20"/>
          <w:szCs w:val="20"/>
        </w:rPr>
        <w:t xml:space="preserve">STATEMENT OF SERVICE REQUIREMENT FOR THE PROVISION OF </w:t>
      </w:r>
      <w:r w:rsidR="00567E5D" w:rsidRPr="004C5AEF">
        <w:rPr>
          <w:rFonts w:cs="Arial"/>
          <w:b/>
          <w:bCs/>
          <w:caps/>
          <w:sz w:val="20"/>
          <w:szCs w:val="20"/>
        </w:rPr>
        <w:t>A REVIEW OF current ONR guidance on management of ageing and degradation of SSC</w:t>
      </w:r>
      <w:r w:rsidR="00567E5D" w:rsidRPr="008C3D94">
        <w:rPr>
          <w:rFonts w:cs="Arial"/>
          <w:b/>
          <w:bCs/>
          <w:smallCaps/>
          <w:sz w:val="20"/>
          <w:szCs w:val="20"/>
        </w:rPr>
        <w:t>s</w:t>
      </w:r>
      <w:r w:rsidR="00567E5D" w:rsidRPr="004C5AEF">
        <w:rPr>
          <w:rFonts w:cs="Arial"/>
          <w:b/>
          <w:bCs/>
          <w:caps/>
          <w:sz w:val="20"/>
          <w:szCs w:val="20"/>
        </w:rPr>
        <w:t xml:space="preserve"> defined through ONR Safety Assessment Principles </w:t>
      </w:r>
      <w:r w:rsidR="00567E5D">
        <w:rPr>
          <w:rFonts w:cs="Arial"/>
          <w:b/>
          <w:bCs/>
          <w:caps/>
          <w:sz w:val="20"/>
          <w:szCs w:val="20"/>
        </w:rPr>
        <w:t xml:space="preserve">(saps) </w:t>
      </w:r>
      <w:r w:rsidR="00567E5D" w:rsidRPr="004C5AEF">
        <w:rPr>
          <w:rFonts w:cs="Arial"/>
          <w:b/>
          <w:bCs/>
          <w:caps/>
          <w:sz w:val="20"/>
          <w:szCs w:val="20"/>
        </w:rPr>
        <w:t>EAD</w:t>
      </w:r>
      <w:r w:rsidR="00C335D0">
        <w:rPr>
          <w:rFonts w:cs="Arial"/>
          <w:b/>
          <w:bCs/>
          <w:caps/>
          <w:sz w:val="20"/>
          <w:szCs w:val="20"/>
        </w:rPr>
        <w:t>.</w:t>
      </w:r>
      <w:r w:rsidR="00567E5D" w:rsidRPr="004C5AEF">
        <w:rPr>
          <w:rFonts w:cs="Arial"/>
          <w:b/>
          <w:bCs/>
          <w:caps/>
          <w:sz w:val="20"/>
          <w:szCs w:val="20"/>
        </w:rPr>
        <w:t>1 to EAD</w:t>
      </w:r>
      <w:r w:rsidR="00C335D0">
        <w:rPr>
          <w:rFonts w:cs="Arial"/>
          <w:b/>
          <w:bCs/>
          <w:caps/>
          <w:sz w:val="20"/>
          <w:szCs w:val="20"/>
        </w:rPr>
        <w:t>.</w:t>
      </w:r>
      <w:r w:rsidR="00567E5D" w:rsidRPr="004C5AEF">
        <w:rPr>
          <w:rFonts w:cs="Arial"/>
          <w:b/>
          <w:bCs/>
          <w:caps/>
          <w:sz w:val="20"/>
          <w:szCs w:val="20"/>
        </w:rPr>
        <w:t xml:space="preserve">5 against </w:t>
      </w:r>
      <w:r w:rsidR="00567E5D">
        <w:rPr>
          <w:rFonts w:cs="Arial"/>
          <w:b/>
          <w:bCs/>
          <w:caps/>
          <w:sz w:val="20"/>
          <w:szCs w:val="20"/>
        </w:rPr>
        <w:t>RECOGNISED INDUSTRY GOOD PRACTICE</w:t>
      </w:r>
    </w:p>
    <w:p w:rsidR="009B5159" w:rsidRDefault="009B5159" w:rsidP="009A3DE7">
      <w:pPr>
        <w:jc w:val="both"/>
      </w:pPr>
    </w:p>
    <w:p w:rsidR="00AE199F" w:rsidRPr="00CA2D8A" w:rsidRDefault="00AE199F" w:rsidP="009A3DE7">
      <w:pPr>
        <w:pStyle w:val="TSHeadingNumbered1"/>
        <w:jc w:val="both"/>
      </w:pPr>
      <w:r w:rsidRPr="00CA2D8A">
        <w:t>BACKGROUND TO THE PROJECT</w:t>
      </w:r>
    </w:p>
    <w:p w:rsidR="00567E5D" w:rsidRPr="00CA6D61" w:rsidRDefault="00567E5D" w:rsidP="009A3DE7">
      <w:pPr>
        <w:pStyle w:val="TSNumberedParagraph11"/>
        <w:jc w:val="both"/>
        <w:rPr>
          <w:bCs/>
        </w:rPr>
      </w:pPr>
      <w:r w:rsidRPr="00CA6D61">
        <w:t xml:space="preserve">The UK is embarking on a new era of nuclear reactor design, build and operation. At the same time, it has older generation reactor technologies at various stages in </w:t>
      </w:r>
      <w:r>
        <w:t xml:space="preserve">their </w:t>
      </w:r>
      <w:r w:rsidRPr="00CA6D61">
        <w:t>operational lifecycle</w:t>
      </w:r>
      <w:r w:rsidR="00C335D0">
        <w:t>.</w:t>
      </w:r>
      <w:r w:rsidRPr="00CA6D61">
        <w:t xml:space="preserve"> </w:t>
      </w:r>
      <w:r>
        <w:t>In addition t</w:t>
      </w:r>
      <w:r w:rsidRPr="00CA6D61">
        <w:t>he UK also has many historical nuclear legacy facilities,</w:t>
      </w:r>
      <w:r>
        <w:t xml:space="preserve"> which have or are entering decommissioning or long term care and maintenance before eventual demolition.</w:t>
      </w:r>
    </w:p>
    <w:p w:rsidR="00567E5D" w:rsidRPr="00C021C0" w:rsidRDefault="00567E5D" w:rsidP="009A3DE7">
      <w:pPr>
        <w:pStyle w:val="TSNumberedParagraph11"/>
        <w:jc w:val="both"/>
        <w:rPr>
          <w:bCs/>
        </w:rPr>
      </w:pPr>
      <w:r w:rsidRPr="00CA6D61">
        <w:t xml:space="preserve">Nuclear facilities, like other industrial plants, are subject to </w:t>
      </w:r>
      <w:r>
        <w:t>a range of degradation mechanisms (impacting on capability and/or efficiency), as well as</w:t>
      </w:r>
      <w:r w:rsidRPr="00CA6D61">
        <w:t xml:space="preserve"> competition from newer technologies. </w:t>
      </w:r>
      <w:r>
        <w:t>A</w:t>
      </w:r>
      <w:r w:rsidRPr="009F77E2">
        <w:t xml:space="preserve">geing affects become increasingly prevalent and challenging </w:t>
      </w:r>
      <w:r w:rsidRPr="00CA6D61">
        <w:t xml:space="preserve">as they reach their final stages of operation. </w:t>
      </w:r>
      <w:r>
        <w:t xml:space="preserve">Understanding the types of internal and external challenges is important to nuclear safety in order to ensure suitable and sufficient monitoring and management of ageing effects are in place. </w:t>
      </w:r>
    </w:p>
    <w:p w:rsidR="00567E5D" w:rsidRPr="00CA6D61" w:rsidRDefault="00567E5D" w:rsidP="009A3DE7">
      <w:pPr>
        <w:pStyle w:val="TSNumberedParagraph11"/>
        <w:jc w:val="both"/>
        <w:rPr>
          <w:bCs/>
        </w:rPr>
      </w:pPr>
      <w:r>
        <w:t>For reactors no longer generating power and entering decommissioning, the lifecycle includes a long term period of care and maintenance. This stage in the lifecycle enables radioactive materials to decay resulting in reduced dose burden when undertaking the final stages of decommissioning, demolition and site clearance</w:t>
      </w:r>
      <w:r w:rsidRPr="00CA6D61">
        <w:t>.</w:t>
      </w:r>
      <w:r>
        <w:t xml:space="preserve"> The internal and external challenges faced by remaining structures, systems and components (SSCs) important to nuclear safety will be different to those experienced during their operational phase. Understanding and managing ageing effects over the long term will be important in predicting SSC condition and performance reliability.</w:t>
      </w:r>
    </w:p>
    <w:p w:rsidR="00567E5D" w:rsidRPr="006F7DA6" w:rsidRDefault="00567E5D" w:rsidP="009A3DE7">
      <w:pPr>
        <w:pStyle w:val="TSNumberedParagraph11"/>
        <w:jc w:val="both"/>
        <w:rPr>
          <w:bCs/>
        </w:rPr>
      </w:pPr>
      <w:r>
        <w:t>A full and comprehensive understanding of the ageing effects on SSCs important to nuclear safety are the subject of many codes, standards and good practice guides used across high hazard industries, including nuclear</w:t>
      </w:r>
      <w:r w:rsidR="00284026">
        <w:t>,</w:t>
      </w:r>
      <w:r>
        <w:t xml:space="preserve"> as well as significant research investments. </w:t>
      </w:r>
      <w:r w:rsidRPr="00523985">
        <w:rPr>
          <w:b/>
        </w:rPr>
        <w:t xml:space="preserve">Appendix </w:t>
      </w:r>
      <w:r>
        <w:rPr>
          <w:b/>
        </w:rPr>
        <w:t>A</w:t>
      </w:r>
      <w:r>
        <w:t xml:space="preserve"> represents examples of codes and standards used as the basis of determining relevant good practice in relation to management of ageing plant. </w:t>
      </w:r>
    </w:p>
    <w:p w:rsidR="00567E5D" w:rsidRDefault="00567E5D" w:rsidP="009A3DE7">
      <w:pPr>
        <w:pStyle w:val="TSNumberedParagraph11"/>
        <w:jc w:val="both"/>
      </w:pPr>
      <w:r w:rsidRPr="00D107C8">
        <w:t>The industry has many initiatives and activities related directly or indirectly to addressing the challenges from ageing and the effects on SSCs. They will continue</w:t>
      </w:r>
      <w:r>
        <w:t>;</w:t>
      </w:r>
      <w:r w:rsidRPr="00D107C8">
        <w:t xml:space="preserve"> alongside this it is considered important to </w:t>
      </w:r>
      <w:r>
        <w:t xml:space="preserve">review current ONR guidance against </w:t>
      </w:r>
      <w:r w:rsidRPr="00D107C8">
        <w:t>establish</w:t>
      </w:r>
      <w:r>
        <w:t xml:space="preserve">ed codes and knowledge and against other high hazard industries, where lessons can be learnt that may be applied to the nuclear industry. </w:t>
      </w:r>
      <w:r w:rsidRPr="00D107C8">
        <w:t xml:space="preserve"> </w:t>
      </w:r>
    </w:p>
    <w:p w:rsidR="00567E5D" w:rsidRPr="00567E5D" w:rsidRDefault="00567E5D" w:rsidP="009A3DE7">
      <w:pPr>
        <w:pStyle w:val="TSNumberedParagraph11"/>
        <w:jc w:val="both"/>
        <w:rPr>
          <w:b/>
        </w:rPr>
      </w:pPr>
      <w:r w:rsidRPr="00567E5D">
        <w:rPr>
          <w:b/>
        </w:rPr>
        <w:t xml:space="preserve">The basis of this project is to review current ONR guidance in the form of Safety Assessment Principles (SAPs) against established codes, regulations, codes of practice and best practice. </w:t>
      </w:r>
    </w:p>
    <w:p w:rsidR="00567E5D" w:rsidRPr="001159FC" w:rsidRDefault="00567E5D" w:rsidP="009A3DE7">
      <w:pPr>
        <w:pStyle w:val="TSNumberedParagraph11"/>
        <w:jc w:val="both"/>
      </w:pPr>
      <w:r w:rsidRPr="001159FC">
        <w:t xml:space="preserve">The project outcome may influence ONR’s basis of reference and understanding of ageing management practices, which may impact regulatory expectations on duty holders in addressing the risks posed by ageing of SSCs important to safety through establishing suitable predictive, monitoring and management activities relevant to the lifecycle, as well as deploying counter measures for the most prevalent and consequential challenges. </w:t>
      </w:r>
    </w:p>
    <w:p w:rsidR="009B5159" w:rsidRDefault="009B5159" w:rsidP="009A3DE7">
      <w:pPr>
        <w:jc w:val="both"/>
      </w:pPr>
    </w:p>
    <w:p w:rsidR="00943D87" w:rsidRDefault="00943D87" w:rsidP="009A3DE7">
      <w:pPr>
        <w:jc w:val="both"/>
      </w:pPr>
    </w:p>
    <w:p w:rsidR="00AE199F" w:rsidRPr="00CA2D8A" w:rsidRDefault="00AE199F" w:rsidP="009A3DE7">
      <w:pPr>
        <w:pStyle w:val="TSHeadingNumbered1"/>
        <w:jc w:val="both"/>
      </w:pPr>
      <w:r w:rsidRPr="00CA2D8A">
        <w:lastRenderedPageBreak/>
        <w:t>SCOPE OF THE SERVICES REQUIRED</w:t>
      </w:r>
    </w:p>
    <w:p w:rsidR="00567E5D" w:rsidRPr="00567E5D" w:rsidRDefault="00567E5D" w:rsidP="009A3DE7">
      <w:pPr>
        <w:pStyle w:val="TSNumberedParagraph11"/>
        <w:jc w:val="both"/>
        <w:rPr>
          <w:rFonts w:cs="Arial"/>
          <w:bCs/>
          <w:sz w:val="20"/>
          <w:szCs w:val="20"/>
        </w:rPr>
      </w:pPr>
      <w:r w:rsidRPr="00DE3C2E">
        <w:t xml:space="preserve">The scope of this project is to review current ONR guidance </w:t>
      </w:r>
      <w:r>
        <w:t>o</w:t>
      </w:r>
      <w:r w:rsidRPr="00DE3C2E">
        <w:t xml:space="preserve">n </w:t>
      </w:r>
      <w:r>
        <w:t>management of ageing and degradation of SSCs</w:t>
      </w:r>
      <w:r w:rsidRPr="00DE3C2E">
        <w:t xml:space="preserve"> </w:t>
      </w:r>
      <w:r>
        <w:t>defined through ONR Safety Assessment Principles EAD</w:t>
      </w:r>
      <w:r w:rsidR="00C335D0">
        <w:t>.</w:t>
      </w:r>
      <w:r>
        <w:t>1 to EAD</w:t>
      </w:r>
      <w:r w:rsidR="00C335D0">
        <w:t>.</w:t>
      </w:r>
      <w:r>
        <w:t xml:space="preserve">5 along with supporting notes Para 212 to 221 </w:t>
      </w:r>
      <w:r w:rsidRPr="00DE3C2E">
        <w:t>against</w:t>
      </w:r>
      <w:r>
        <w:t xml:space="preserve"> recognised industry good practice,</w:t>
      </w:r>
      <w:r w:rsidRPr="00DE3C2E">
        <w:t xml:space="preserve"> highlighting significant differences</w:t>
      </w:r>
      <w:r>
        <w:t xml:space="preserve"> or opportunities for improvements.  </w:t>
      </w:r>
      <w:r w:rsidRPr="00567E5D">
        <w:t>The scope will include consideration of the standards applied to nuclear facilities against other high hazard industries highlighting where lessons can be learned.</w:t>
      </w:r>
    </w:p>
    <w:p w:rsidR="00567E5D" w:rsidRDefault="00567E5D" w:rsidP="009A3DE7">
      <w:pPr>
        <w:pStyle w:val="TSNumberedParagraph11"/>
        <w:jc w:val="both"/>
      </w:pPr>
      <w:r>
        <w:t>The following requirements are included in the scope of the project, this list is not exhaustive:</w:t>
      </w:r>
    </w:p>
    <w:p w:rsidR="00567E5D" w:rsidRDefault="00567E5D" w:rsidP="009A3DE7">
      <w:pPr>
        <w:pStyle w:val="TSBullet1Square"/>
        <w:jc w:val="both"/>
      </w:pPr>
      <w:r>
        <w:t>Reviewing existing codes, standards and good practice guides to identify ageing management specific expectations for nuclear facilities.</w:t>
      </w:r>
    </w:p>
    <w:p w:rsidR="00567E5D" w:rsidRDefault="00567E5D" w:rsidP="009A3DE7">
      <w:pPr>
        <w:pStyle w:val="TSBullet1Square"/>
        <w:jc w:val="both"/>
      </w:pPr>
      <w:r>
        <w:t xml:space="preserve">Benchmarking current SAPs with other high hazard industries good practice in </w:t>
      </w:r>
      <w:r w:rsidRPr="0084489F">
        <w:t>predicting, monitoring</w:t>
      </w:r>
      <w:r>
        <w:t xml:space="preserve"> and managing</w:t>
      </w:r>
      <w:r w:rsidRPr="0084489F">
        <w:t xml:space="preserve"> </w:t>
      </w:r>
      <w:r w:rsidRPr="00B51D6D">
        <w:t>the reliability and performance of SSCs important to safety</w:t>
      </w:r>
      <w:r>
        <w:t>.</w:t>
      </w:r>
    </w:p>
    <w:p w:rsidR="00567E5D" w:rsidRPr="00B51D6D" w:rsidRDefault="00567E5D" w:rsidP="009A3DE7">
      <w:pPr>
        <w:pStyle w:val="TSBullet1Square"/>
        <w:jc w:val="both"/>
      </w:pPr>
      <w:r>
        <w:t>Considering the implications and appropriateness of changes to ONR SAPs Ageing and Degradation, EAD.1 to 5 when compared with established industry good practice.</w:t>
      </w:r>
    </w:p>
    <w:p w:rsidR="00567E5D" w:rsidRPr="00326BFF" w:rsidRDefault="00567E5D" w:rsidP="009A3DE7">
      <w:pPr>
        <w:pStyle w:val="TSNumberedParagraph11"/>
        <w:jc w:val="both"/>
        <w:rPr>
          <w:bCs/>
        </w:rPr>
      </w:pPr>
      <w:r w:rsidRPr="00326BFF">
        <w:t xml:space="preserve">Where not specified </w:t>
      </w:r>
      <w:r>
        <w:t>in this document</w:t>
      </w:r>
      <w:r w:rsidRPr="00326BFF">
        <w:t xml:space="preserve">, the </w:t>
      </w:r>
      <w:r w:rsidR="009A3DE7">
        <w:t xml:space="preserve">successful </w:t>
      </w:r>
      <w:r w:rsidRPr="00326BFF">
        <w:t xml:space="preserve">provider shall ensure any assumptions required to deliver any objectives are first confirmed with ONR. Establishing the baseline against which this project is undertaken will provide assurance of its value and credibility. </w:t>
      </w:r>
      <w:r>
        <w:t>It will be incumbent on the</w:t>
      </w:r>
      <w:r w:rsidRPr="00326BFF">
        <w:t xml:space="preserve"> </w:t>
      </w:r>
      <w:r w:rsidR="009A3DE7">
        <w:t xml:space="preserve">successful </w:t>
      </w:r>
      <w:r w:rsidR="00284026">
        <w:t>provider</w:t>
      </w:r>
      <w:r w:rsidRPr="00326BFF">
        <w:t xml:space="preserve"> to make clear where </w:t>
      </w:r>
      <w:r>
        <w:t xml:space="preserve">further </w:t>
      </w:r>
      <w:r w:rsidRPr="00326BFF">
        <w:t>research opportunities may exist</w:t>
      </w:r>
      <w:r>
        <w:t xml:space="preserve"> and, the value they would deliver</w:t>
      </w:r>
      <w:r w:rsidRPr="00326BFF">
        <w:t>. ONR will consider the implications of further research opportunities separately to this project.</w:t>
      </w:r>
    </w:p>
    <w:p w:rsidR="00567E5D" w:rsidRPr="004C5AEF" w:rsidRDefault="00567E5D" w:rsidP="009A3DE7">
      <w:pPr>
        <w:pStyle w:val="TSNumberedParagraph11"/>
        <w:jc w:val="both"/>
        <w:rPr>
          <w:bCs/>
        </w:rPr>
      </w:pPr>
      <w:r w:rsidRPr="00A7153C">
        <w:t>The Project is likely to include</w:t>
      </w:r>
      <w:r w:rsidRPr="004C5AEF">
        <w:t xml:space="preserve"> extracting reference data from many sources, many of which may be copyright© protected, subject to intellectual property protection or include material against a registered trademarks®. All such sources should be replicated with the permission of the originator and only reproduced with such permissions in place. Infringements will be the responsibility of the project provider. All charges and costs shall be included in the contract valuation and will be the responsibility of the </w:t>
      </w:r>
      <w:r w:rsidR="009A3DE7">
        <w:t xml:space="preserve">successful </w:t>
      </w:r>
      <w:r w:rsidRPr="004C5AEF">
        <w:t>provider</w:t>
      </w:r>
      <w:r>
        <w:t>.</w:t>
      </w:r>
    </w:p>
    <w:p w:rsidR="00567E5D" w:rsidRDefault="00567E5D" w:rsidP="009A3DE7">
      <w:pPr>
        <w:pStyle w:val="TSNumberedParagraph11"/>
        <w:jc w:val="both"/>
      </w:pPr>
      <w:r>
        <w:t>The following organisations should be considered key stakeholders in ageing management recognised industry good practice and should be considered with regard to reference material currently available:</w:t>
      </w:r>
    </w:p>
    <w:p w:rsidR="00567E5D" w:rsidRDefault="00567E5D" w:rsidP="009A3DE7">
      <w:pPr>
        <w:pStyle w:val="TSBullet1Square"/>
        <w:jc w:val="both"/>
      </w:pPr>
      <w:r>
        <w:t xml:space="preserve">Nuclear Engineering Directors Forum [NEDF] has recognised management of ageing plant as one of its three key strategic challenges. </w:t>
      </w:r>
    </w:p>
    <w:p w:rsidR="00567E5D" w:rsidRDefault="00567E5D" w:rsidP="009A3DE7">
      <w:pPr>
        <w:pStyle w:val="TSBullet1Square"/>
        <w:jc w:val="both"/>
      </w:pPr>
      <w:r>
        <w:t xml:space="preserve">The British Standards Committee NCE/9 nuclear installations, processes and technologies. </w:t>
      </w:r>
    </w:p>
    <w:p w:rsidR="00567E5D" w:rsidRDefault="00567E5D" w:rsidP="009A3DE7">
      <w:pPr>
        <w:pStyle w:val="TSBullet1Square"/>
        <w:jc w:val="both"/>
      </w:pPr>
      <w:r>
        <w:t>The Organisation for Economic Co-operation and Development [OECD] Committee on the Safety of Nuclear Installations, Working Group on Integrity and Ageing of components and structures.</w:t>
      </w:r>
    </w:p>
    <w:p w:rsidR="00567E5D" w:rsidRDefault="00567E5D" w:rsidP="009A3DE7">
      <w:pPr>
        <w:pStyle w:val="TSBullet1Square"/>
        <w:jc w:val="both"/>
      </w:pPr>
      <w:r>
        <w:t>The International Atomic Energy Agency [IAEA] e</w:t>
      </w:r>
      <w:r w:rsidRPr="009F3CD3">
        <w:t>xtra</w:t>
      </w:r>
      <w:r>
        <w:t xml:space="preserve"> </w:t>
      </w:r>
      <w:r w:rsidRPr="009F3CD3">
        <w:t xml:space="preserve">budgetary Programme on International </w:t>
      </w:r>
      <w:r>
        <w:t>Generic Ageing Lessons Learned [IGALL]</w:t>
      </w:r>
      <w:r w:rsidRPr="009F3CD3">
        <w:t xml:space="preserve"> for Nuclear Power Plants</w:t>
      </w:r>
      <w:r>
        <w:t xml:space="preserve"> Committee.</w:t>
      </w:r>
    </w:p>
    <w:p w:rsidR="00567E5D" w:rsidRDefault="00567E5D" w:rsidP="009A3DE7">
      <w:pPr>
        <w:pStyle w:val="TSBullet1Square"/>
        <w:jc w:val="both"/>
      </w:pPr>
      <w:r w:rsidRPr="00F25B63">
        <w:t>European Nuclear Safety Regulators Group (ENSREG)</w:t>
      </w:r>
    </w:p>
    <w:p w:rsidR="00567E5D" w:rsidRDefault="00567E5D" w:rsidP="009A3DE7">
      <w:pPr>
        <w:pStyle w:val="TSNumberedParagraph11"/>
        <w:jc w:val="both"/>
      </w:pPr>
      <w:r>
        <w:t>ONR recently published a new Asset Management Technical Assessment Guide (TAG) [</w:t>
      </w:r>
      <w:r w:rsidRPr="00665CCE">
        <w:t>NS-TAST-GD-098</w:t>
      </w:r>
      <w:r>
        <w:t xml:space="preserve">], which has applicability to management of ageing plant. The TAG establishes points of principle which are expected to be in place for effective management of assets. The scope of this project neither crosses nor replicates in any </w:t>
      </w:r>
      <w:r>
        <w:lastRenderedPageBreak/>
        <w:t xml:space="preserve">way the content of the TAG. The </w:t>
      </w:r>
      <w:r w:rsidR="009A3DE7">
        <w:t xml:space="preserve">successful </w:t>
      </w:r>
      <w:r>
        <w:t>provider shall be aware of its content to avoid repetition and make reference to relevant matters if appropriate.</w:t>
      </w:r>
    </w:p>
    <w:p w:rsidR="00567E5D" w:rsidRDefault="00567E5D" w:rsidP="009A3DE7">
      <w:pPr>
        <w:pStyle w:val="TSNumberedParagraph11"/>
        <w:jc w:val="both"/>
      </w:pPr>
      <w:r w:rsidRPr="00C93049">
        <w:t>ONR Safety Assessment Principles (SAPs) on ageing and degradation [EAD</w:t>
      </w:r>
      <w:r w:rsidR="00C335D0">
        <w:t>.</w:t>
      </w:r>
      <w:r w:rsidRPr="00C93049">
        <w:t>1- 5] shall be taken into account during delivery of the project. Consideration of SAPs EAD.1-5 shall be identified as a specific deliverable. Independent comparison and consideration of ageing management with other high hazard industries through benchmarking is consistent with regulatory good practice.</w:t>
      </w:r>
    </w:p>
    <w:p w:rsidR="00567E5D" w:rsidRDefault="00567E5D" w:rsidP="009A3DE7">
      <w:pPr>
        <w:pStyle w:val="TSNumberedParagraph11"/>
        <w:jc w:val="both"/>
      </w:pPr>
      <w:r>
        <w:t xml:space="preserve">The project provider shall provide monthly reports and updates on progress.  The content of the monthly report shall be agreed before commencement of contract. The </w:t>
      </w:r>
      <w:r w:rsidR="009A3DE7">
        <w:t xml:space="preserve">successful </w:t>
      </w:r>
      <w:r>
        <w:t>provider shall clearly state cost assumptions on duration and location of such engagements.</w:t>
      </w:r>
    </w:p>
    <w:p w:rsidR="00567E5D" w:rsidRDefault="00567E5D" w:rsidP="009A3DE7">
      <w:pPr>
        <w:pStyle w:val="TSNumberedParagraph11"/>
        <w:jc w:val="both"/>
      </w:pPr>
      <w:r>
        <w:t xml:space="preserve">All reports presented to ONR shall not be considered complete until ONR has confirmed it is satisfied. The final report in all likelihood will be subject to iterations and as such the </w:t>
      </w:r>
      <w:r w:rsidR="009A3DE7">
        <w:t xml:space="preserve">successful </w:t>
      </w:r>
      <w:r>
        <w:t>provider should include time and cost in addressing supplementary enquiries and follow ups within the tender.</w:t>
      </w:r>
    </w:p>
    <w:p w:rsidR="00D75DA2" w:rsidRPr="00CA2D8A" w:rsidRDefault="00D75DA2" w:rsidP="009A3DE7">
      <w:pPr>
        <w:pStyle w:val="TSHeadingNumbered1"/>
        <w:jc w:val="both"/>
      </w:pPr>
      <w:r w:rsidRPr="00CA2D8A">
        <w:t>OBJECTIVES</w:t>
      </w:r>
    </w:p>
    <w:p w:rsidR="00567E5D" w:rsidRPr="00567E5D" w:rsidRDefault="00567E5D" w:rsidP="009A3DE7">
      <w:pPr>
        <w:pStyle w:val="TSNumberedParagraph11"/>
        <w:jc w:val="both"/>
        <w:rPr>
          <w:bCs/>
        </w:rPr>
      </w:pPr>
      <w:r>
        <w:rPr>
          <w:bCs/>
        </w:rPr>
        <w:t xml:space="preserve">ONR will require an initial outline of the strategy </w:t>
      </w:r>
      <w:r w:rsidR="00375C6D">
        <w:rPr>
          <w:bCs/>
        </w:rPr>
        <w:t>taken and update on early findings two months after the contract start, followed by a draft report for comment at a date agreed by ONR.  The final report would be expected for delivery six months after contract start.</w:t>
      </w:r>
    </w:p>
    <w:p w:rsidR="00567E5D" w:rsidRPr="009E4187" w:rsidRDefault="00567E5D" w:rsidP="009A3DE7">
      <w:pPr>
        <w:pStyle w:val="TSNumberedParagraph11"/>
        <w:jc w:val="both"/>
        <w:rPr>
          <w:bCs/>
        </w:rPr>
      </w:pPr>
      <w:r>
        <w:rPr>
          <w:b/>
        </w:rPr>
        <w:t xml:space="preserve">Appendix A </w:t>
      </w:r>
      <w:r w:rsidRPr="00952C53">
        <w:t xml:space="preserve">provides details of </w:t>
      </w:r>
      <w:r>
        <w:t xml:space="preserve">typical </w:t>
      </w:r>
      <w:r w:rsidRPr="00952C53">
        <w:t xml:space="preserve">relevant </w:t>
      </w:r>
      <w:r>
        <w:t>codes,</w:t>
      </w:r>
      <w:r w:rsidRPr="00952C53">
        <w:t xml:space="preserve"> standards and good practice guides</w:t>
      </w:r>
      <w:r>
        <w:t>,</w:t>
      </w:r>
      <w:r w:rsidRPr="00952C53">
        <w:t xml:space="preserve"> the </w:t>
      </w:r>
      <w:r w:rsidR="009A3DE7">
        <w:t xml:space="preserve">successful </w:t>
      </w:r>
      <w:r w:rsidRPr="00952C53">
        <w:t xml:space="preserve">provider may wish to take </w:t>
      </w:r>
      <w:r>
        <w:t xml:space="preserve">into </w:t>
      </w:r>
      <w:r w:rsidRPr="00952C53">
        <w:t xml:space="preserve">account in </w:t>
      </w:r>
      <w:r w:rsidRPr="000F19D9">
        <w:t>identify</w:t>
      </w:r>
      <w:r>
        <w:t>ing</w:t>
      </w:r>
      <w:r w:rsidRPr="000F19D9">
        <w:t xml:space="preserve"> ageing management specific expectations for nuclear facilities</w:t>
      </w:r>
      <w:r>
        <w:t xml:space="preserve"> and b</w:t>
      </w:r>
      <w:r w:rsidRPr="00EF1E64">
        <w:t>enchmarking current SAPs with other high hazard industries good practice in predicting, monitoring and managing the reliability and performance of SSCs important to safety</w:t>
      </w:r>
      <w:r>
        <w:t xml:space="preserve">; this list is neither complete nor authorative. In undertaking the benchmark with other high hazard industries, many new </w:t>
      </w:r>
      <w:r w:rsidRPr="00952C53">
        <w:t>codes, standards and good practice guides</w:t>
      </w:r>
      <w:r>
        <w:t xml:space="preserve"> will be required to be considered in delivering the project objective</w:t>
      </w:r>
      <w:r w:rsidRPr="009E4187">
        <w:t>.</w:t>
      </w:r>
    </w:p>
    <w:p w:rsidR="00567E5D" w:rsidRPr="00AF1C7F" w:rsidRDefault="00567E5D" w:rsidP="009A3DE7">
      <w:pPr>
        <w:pStyle w:val="TSNumberedParagraph11"/>
        <w:jc w:val="both"/>
        <w:rPr>
          <w:bCs/>
        </w:rPr>
      </w:pPr>
      <w:r>
        <w:t xml:space="preserve">ONR will undertake internal validations for each interim report across its engineering specialisms. As such, the </w:t>
      </w:r>
      <w:r w:rsidR="009A3DE7">
        <w:t xml:space="preserve">successful </w:t>
      </w:r>
      <w:r>
        <w:t xml:space="preserve">provider shall make arrangements for addressing feedback as part of the peer check process before completion of the final report. </w:t>
      </w:r>
    </w:p>
    <w:p w:rsidR="00567E5D" w:rsidRPr="00375C6D" w:rsidRDefault="00567E5D" w:rsidP="009A3DE7">
      <w:pPr>
        <w:pStyle w:val="TSNumberedParagraph11"/>
        <w:jc w:val="both"/>
        <w:rPr>
          <w:bCs/>
        </w:rPr>
      </w:pPr>
      <w:r>
        <w:t xml:space="preserve">ONR considers the cohesion of a team approach to this project as a critical success factor, including high quality project management processes and procedures. The </w:t>
      </w:r>
      <w:r w:rsidR="009A3DE7">
        <w:t xml:space="preserve">successful </w:t>
      </w:r>
      <w:r>
        <w:t xml:space="preserve">provider shall propose an appropriate team to this project and retain the team so assigned throughout the project; unless performance shortfalls preventing effective discharge of the project outcomes is evident. </w:t>
      </w:r>
      <w:r w:rsidRPr="00707072">
        <w:t xml:space="preserve">ONR shall approve the project team proposed by the </w:t>
      </w:r>
      <w:r w:rsidR="009A3DE7">
        <w:t xml:space="preserve">successful </w:t>
      </w:r>
      <w:r w:rsidRPr="00707072">
        <w:t>provider before commencement of the contract.</w:t>
      </w:r>
      <w:r>
        <w:t xml:space="preserve"> The instability of the team through re-assignment mid-stage may provide sufficient justification for ONR stage termination.</w:t>
      </w:r>
    </w:p>
    <w:p w:rsidR="00284026" w:rsidRPr="00284026" w:rsidRDefault="00375C6D" w:rsidP="009A3DE7">
      <w:pPr>
        <w:pStyle w:val="TSNumberedParagraph11"/>
        <w:jc w:val="both"/>
        <w:rPr>
          <w:bCs/>
        </w:rPr>
      </w:pPr>
      <w:r>
        <w:t xml:space="preserve">The contract will begin with a face-to-face kick off meeting, with monthly progress meetings (via teleconference) </w:t>
      </w:r>
      <w:r w:rsidR="005B503C">
        <w:t xml:space="preserve">as </w:t>
      </w:r>
      <w:r>
        <w:t>required.  Provision of at least two face-to-face meetings should be factored into costs.</w:t>
      </w:r>
      <w:r w:rsidR="000C5D00">
        <w:t xml:space="preserve"> </w:t>
      </w:r>
    </w:p>
    <w:p w:rsidR="00284026" w:rsidRPr="00284026" w:rsidRDefault="00284026" w:rsidP="009A3DE7">
      <w:pPr>
        <w:pStyle w:val="TSHeadingNumbered1"/>
        <w:jc w:val="both"/>
      </w:pPr>
      <w:r w:rsidRPr="00284026">
        <w:t xml:space="preserve">CONSTRAINTS </w:t>
      </w:r>
    </w:p>
    <w:p w:rsidR="00284026" w:rsidRPr="00AD4954" w:rsidRDefault="00284026" w:rsidP="009A3DE7">
      <w:pPr>
        <w:pStyle w:val="TSNumberedParagraph11"/>
        <w:jc w:val="both"/>
        <w:rPr>
          <w:bCs/>
        </w:rPr>
      </w:pPr>
      <w:r>
        <w:t>Tenderers must declare</w:t>
      </w:r>
      <w:r w:rsidRPr="00AD4954">
        <w:t xml:space="preserve"> any conflicts of interest that arise</w:t>
      </w:r>
      <w:r>
        <w:t xml:space="preserve"> in delivering this project from </w:t>
      </w:r>
      <w:r w:rsidRPr="00AD4954">
        <w:t xml:space="preserve">previous </w:t>
      </w:r>
      <w:r>
        <w:t xml:space="preserve">management of ageing </w:t>
      </w:r>
      <w:r w:rsidRPr="00AD4954">
        <w:t xml:space="preserve">assessment work undertaken </w:t>
      </w:r>
      <w:r>
        <w:t>for duty holders.  Schedule C must be completed and submitted as part of the response.</w:t>
      </w:r>
    </w:p>
    <w:p w:rsidR="00284026" w:rsidRPr="000C5D00" w:rsidRDefault="00284026" w:rsidP="009A3DE7">
      <w:pPr>
        <w:pStyle w:val="TSNumberedParagraph11"/>
        <w:jc w:val="both"/>
      </w:pPr>
      <w:r w:rsidRPr="003F0C4E">
        <w:lastRenderedPageBreak/>
        <w:t xml:space="preserve">One of the means used by ONR to select the TSC will be by evaluation of submitted CVs. It is envisaged this project shall require a team approach, with a project manager supported by suitably qualified and experienced representatives from suitable </w:t>
      </w:r>
      <w:r w:rsidRPr="000C5D00">
        <w:t xml:space="preserve">backgrounds.  </w:t>
      </w:r>
    </w:p>
    <w:p w:rsidR="00284026" w:rsidRPr="003F0C4E" w:rsidRDefault="00284026" w:rsidP="009A3DE7">
      <w:pPr>
        <w:pStyle w:val="TSNumberedParagraph11"/>
        <w:jc w:val="both"/>
        <w:rPr>
          <w:bCs/>
        </w:rPr>
      </w:pPr>
      <w:r w:rsidRPr="003F0C4E">
        <w:t>Nominated personnel whose CVs have been submitted at tender shall only be substituted by prior agreement with ONR.</w:t>
      </w:r>
    </w:p>
    <w:p w:rsidR="00284026" w:rsidRPr="00945363" w:rsidRDefault="00284026" w:rsidP="009A3DE7">
      <w:pPr>
        <w:pStyle w:val="TSNumberedParagraph11"/>
        <w:jc w:val="both"/>
        <w:rPr>
          <w:bCs/>
        </w:rPr>
      </w:pPr>
      <w:r>
        <w:rPr>
          <w:bCs/>
        </w:rPr>
        <w:t xml:space="preserve">The philosophy in approaching this project is best endeavours to avoid collecting sensitive information that leads to document </w:t>
      </w:r>
      <w:r>
        <w:t xml:space="preserve">security classification, with a view to retaining open source status. A separate Annex may be considered if classification above open source becomes necessary. </w:t>
      </w:r>
    </w:p>
    <w:p w:rsidR="00284026" w:rsidRPr="003F0C4E" w:rsidRDefault="00284026" w:rsidP="009A3DE7">
      <w:pPr>
        <w:pStyle w:val="TSNumberedParagraph11"/>
        <w:jc w:val="both"/>
        <w:rPr>
          <w:bCs/>
        </w:rPr>
      </w:pPr>
      <w:r>
        <w:t xml:space="preserve">In delivering the project, it may become appropriate when information gathering or undertaking analysis sensitive nuclear information [confirmed with the Project Officer] is generated and the </w:t>
      </w:r>
      <w:r w:rsidR="009A3DE7">
        <w:t xml:space="preserve">successful </w:t>
      </w:r>
      <w:r>
        <w:t>provider must recognise and respond to such risks. Appropriate IT and security vetting measures may be necessary, and if conceived must first be put in place, as previously communicated to TSCs included in ONRs contracting award; advice can be provided to other organisations who are not familiar with the measures.</w:t>
      </w:r>
    </w:p>
    <w:p w:rsidR="00284026" w:rsidRDefault="00284026" w:rsidP="009A3DE7">
      <w:pPr>
        <w:pStyle w:val="TSNumberedParagraph11"/>
        <w:jc w:val="both"/>
        <w:rPr>
          <w:bCs/>
        </w:rPr>
      </w:pPr>
      <w:r>
        <w:t xml:space="preserve">The project provider shall be required to undertake technical audit at regular intervals to assure the technical basis of the project is robust and well founded. In addition, the project should be subject to independent oversight within the </w:t>
      </w:r>
      <w:r w:rsidR="009A3DE7">
        <w:t xml:space="preserve">successful </w:t>
      </w:r>
      <w:r>
        <w:t>provider’s organisation to ensure objectives and outputs are achieved. Both technical audit and oversight outcomes shall be documented in each of the interim and final report(s).</w:t>
      </w:r>
    </w:p>
    <w:p w:rsidR="00284026" w:rsidRDefault="00284026" w:rsidP="009A3DE7">
      <w:pPr>
        <w:pStyle w:val="TSNumberedParagraph11"/>
        <w:jc w:val="both"/>
      </w:pPr>
      <w:r w:rsidRPr="009E4187">
        <w:t>During delivery of this project, the project team may uncover matters which require confidentiality considerations. It is incumbent on the project provider to raise such matters at the earliest opportunity in order to determine the nature of the issue and an adequate response.</w:t>
      </w:r>
    </w:p>
    <w:p w:rsidR="00375C6D" w:rsidRPr="00284026" w:rsidRDefault="00284026" w:rsidP="009A3DE7">
      <w:pPr>
        <w:pStyle w:val="TSNumberedParagraph11"/>
        <w:tabs>
          <w:tab w:val="clear" w:pos="-31680"/>
        </w:tabs>
        <w:jc w:val="both"/>
      </w:pPr>
      <w:r>
        <w:t>The material gathered during the course of this project shall be referenced and presented in the interim and final report(s). The material will be considered open source and provided in an agreed format complete to ONR. Documents obtained from third parties that retain a security or commercial designation, will be handled in accordance with the requirements set by the owner.</w:t>
      </w:r>
    </w:p>
    <w:p w:rsidR="00D75DA2" w:rsidRDefault="00D75DA2" w:rsidP="009A3DE7">
      <w:pPr>
        <w:pStyle w:val="TSHeadingNumbered1"/>
        <w:jc w:val="both"/>
      </w:pPr>
      <w:r w:rsidRPr="00CA2D8A">
        <w:t>TENDER SUBMISSIONS</w:t>
      </w:r>
      <w:r>
        <w:t xml:space="preserve"> </w:t>
      </w:r>
    </w:p>
    <w:p w:rsidR="000C5D00" w:rsidRPr="00AF1C7F" w:rsidRDefault="00284026" w:rsidP="009A3DE7">
      <w:pPr>
        <w:pStyle w:val="TSNumberedParagraph11"/>
        <w:jc w:val="both"/>
      </w:pPr>
      <w:r w:rsidRPr="00827380">
        <w:rPr>
          <w:rFonts w:cs="Arial"/>
          <w:szCs w:val="22"/>
        </w:rPr>
        <w:t xml:space="preserve">To submit a compliant proposal in </w:t>
      </w:r>
      <w:r>
        <w:rPr>
          <w:rFonts w:cs="Arial"/>
          <w:szCs w:val="22"/>
        </w:rPr>
        <w:t xml:space="preserve">response to this specification, </w:t>
      </w:r>
      <w:r w:rsidRPr="00A53BCB">
        <w:rPr>
          <w:rFonts w:cs="Arial"/>
          <w:szCs w:val="22"/>
        </w:rPr>
        <w:t>b</w:t>
      </w:r>
      <w:r>
        <w:rPr>
          <w:rFonts w:cs="Arial"/>
          <w:szCs w:val="22"/>
        </w:rPr>
        <w:t>idders must provide</w:t>
      </w:r>
      <w:r w:rsidR="000C5D00" w:rsidRPr="00AF1C7F">
        <w:rPr>
          <w:iCs/>
        </w:rPr>
        <w:t>:</w:t>
      </w:r>
    </w:p>
    <w:p w:rsidR="000C5D00" w:rsidRDefault="000C5D00" w:rsidP="009A3DE7">
      <w:pPr>
        <w:pStyle w:val="TSBullet1Square"/>
        <w:jc w:val="both"/>
      </w:pPr>
      <w:r>
        <w:t>A</w:t>
      </w:r>
      <w:r w:rsidRPr="004421CA">
        <w:t xml:space="preserve"> </w:t>
      </w:r>
      <w:r w:rsidR="00284026">
        <w:t xml:space="preserve">detailed </w:t>
      </w:r>
      <w:r w:rsidRPr="004421CA">
        <w:t xml:space="preserve">description of </w:t>
      </w:r>
      <w:r w:rsidR="00284026">
        <w:t>their approach in undertaking this project</w:t>
      </w:r>
      <w:r w:rsidR="00284026" w:rsidRPr="004421CA">
        <w:t xml:space="preserve"> </w:t>
      </w:r>
      <w:r w:rsidRPr="004421CA">
        <w:t>how they will deliver the work and the resources they will use;</w:t>
      </w:r>
    </w:p>
    <w:p w:rsidR="000C5D00" w:rsidRPr="004421CA" w:rsidRDefault="000C5D00" w:rsidP="009A3DE7">
      <w:pPr>
        <w:pStyle w:val="TSBullet1Square"/>
        <w:jc w:val="both"/>
      </w:pPr>
      <w:r>
        <w:t>T</w:t>
      </w:r>
      <w:r w:rsidRPr="004421CA">
        <w:t xml:space="preserve">he CVs and </w:t>
      </w:r>
      <w:r>
        <w:t xml:space="preserve">SQEP </w:t>
      </w:r>
      <w:r w:rsidRPr="004421CA">
        <w:t>details of any staff who will be undertaking the work;</w:t>
      </w:r>
    </w:p>
    <w:p w:rsidR="00284026" w:rsidRDefault="00284026" w:rsidP="009A3DE7">
      <w:pPr>
        <w:pStyle w:val="TSBullet1Square"/>
        <w:jc w:val="both"/>
      </w:pPr>
      <w:r>
        <w:t>A breakdown of how they will achieve project objectives;</w:t>
      </w:r>
    </w:p>
    <w:p w:rsidR="000C5D00" w:rsidRDefault="000C5D00" w:rsidP="009A3DE7">
      <w:pPr>
        <w:pStyle w:val="TSBullet1Square"/>
        <w:jc w:val="both"/>
      </w:pPr>
      <w:r>
        <w:t>A</w:t>
      </w:r>
      <w:r w:rsidRPr="004421CA">
        <w:t xml:space="preserve">rrangements for managing delivery of the work </w:t>
      </w:r>
      <w:r>
        <w:t xml:space="preserve">through engagements </w:t>
      </w:r>
      <w:r w:rsidRPr="004421CA">
        <w:t xml:space="preserve">and dealing with disputes (including details of who will act as the liaison point between the </w:t>
      </w:r>
      <w:r w:rsidR="009A3DE7">
        <w:t xml:space="preserve">successful </w:t>
      </w:r>
      <w:r>
        <w:t>provider</w:t>
      </w:r>
      <w:r w:rsidRPr="004421CA">
        <w:t xml:space="preserve"> and ONR);</w:t>
      </w:r>
    </w:p>
    <w:p w:rsidR="00284026" w:rsidRPr="004421CA" w:rsidRDefault="00284026" w:rsidP="009A3DE7">
      <w:pPr>
        <w:pStyle w:val="TSBullet1Square"/>
        <w:tabs>
          <w:tab w:val="clear" w:pos="-31680"/>
        </w:tabs>
        <w:jc w:val="both"/>
      </w:pPr>
      <w:r>
        <w:t>A</w:t>
      </w:r>
      <w:r w:rsidRPr="00284026">
        <w:t xml:space="preserve"> detailed project plan and timetable covering each of the proposed tasks, taking into consideration the dates highlighted in the programme of work;</w:t>
      </w:r>
    </w:p>
    <w:p w:rsidR="000C5D00" w:rsidRPr="004421CA" w:rsidRDefault="000C5D00" w:rsidP="009A3DE7">
      <w:pPr>
        <w:pStyle w:val="TSBullet1Square"/>
        <w:jc w:val="both"/>
      </w:pPr>
      <w:r>
        <w:t xml:space="preserve">Evidence of an established </w:t>
      </w:r>
      <w:r w:rsidRPr="004421CA">
        <w:t>track record of undertaking similar work for other customers</w:t>
      </w:r>
      <w:r w:rsidR="0024518E">
        <w:t>, supported by up to 2 case studies or references</w:t>
      </w:r>
      <w:r w:rsidRPr="004421CA">
        <w:t>;</w:t>
      </w:r>
    </w:p>
    <w:p w:rsidR="000C5D00" w:rsidRPr="008F07A2" w:rsidRDefault="000C5D00" w:rsidP="009A3DE7">
      <w:pPr>
        <w:pStyle w:val="TSBullet1Square"/>
        <w:jc w:val="both"/>
      </w:pPr>
      <w:r w:rsidRPr="008F07A2">
        <w:t>Proposed routine report formats, and an indication of the final report format;</w:t>
      </w:r>
    </w:p>
    <w:p w:rsidR="000C5D00" w:rsidRDefault="000C5D00" w:rsidP="009A3DE7">
      <w:pPr>
        <w:pStyle w:val="TSBullet1Square"/>
        <w:jc w:val="both"/>
      </w:pPr>
      <w:r>
        <w:t xml:space="preserve">Number of final reports to be produced in hardcopy (electronic publishing in suitable format is required – </w:t>
      </w:r>
      <w:r w:rsidRPr="008F07A2">
        <w:rPr>
          <w:u w:val="single"/>
        </w:rPr>
        <w:t>ONR must be able to publish and freely circulate the final report</w:t>
      </w:r>
      <w:r>
        <w:t>).</w:t>
      </w:r>
    </w:p>
    <w:p w:rsidR="00284026" w:rsidRDefault="00284026" w:rsidP="009A3DE7">
      <w:pPr>
        <w:pStyle w:val="TSBullet1Square"/>
        <w:tabs>
          <w:tab w:val="clear" w:pos="-31680"/>
        </w:tabs>
        <w:jc w:val="both"/>
      </w:pPr>
      <w:r>
        <w:lastRenderedPageBreak/>
        <w:t>The charging rates and invoicing and payment schedule and arrangements throughout the contract, including the means by which progress can be tracked against payments;</w:t>
      </w:r>
    </w:p>
    <w:p w:rsidR="000C5D00" w:rsidRDefault="000C5D00" w:rsidP="009A3DE7">
      <w:pPr>
        <w:pStyle w:val="TSNumberedParagraph11"/>
        <w:jc w:val="both"/>
      </w:pPr>
      <w:r w:rsidRPr="00D32D8C">
        <w:t>T</w:t>
      </w:r>
      <w:r>
        <w:t>he credibility of the outcomes of this project will be important in ensuring they are valued and recognised as representing a thorough document review of existing knowledge in ageing management and relevant good practice</w:t>
      </w:r>
      <w:r w:rsidRPr="00D32D8C">
        <w:t>.</w:t>
      </w:r>
      <w:r>
        <w:t xml:space="preserve"> The </w:t>
      </w:r>
      <w:r w:rsidR="009A3DE7">
        <w:t xml:space="preserve">successful </w:t>
      </w:r>
      <w:r>
        <w:t>provider shall set out how they plan to achieve recognition and credibility for the outcomes, over and above those matters set out in the scope.</w:t>
      </w:r>
    </w:p>
    <w:p w:rsidR="00D75DA2" w:rsidRDefault="00D75DA2" w:rsidP="009A3DE7">
      <w:pPr>
        <w:pStyle w:val="TSHeadingNumbered1"/>
        <w:jc w:val="both"/>
      </w:pPr>
      <w:r w:rsidRPr="00207F68">
        <w:t>CONTRACT MANAGEMENT</w:t>
      </w:r>
    </w:p>
    <w:p w:rsidR="00D75DA2" w:rsidRDefault="00D75DA2" w:rsidP="009A3DE7">
      <w:pPr>
        <w:pStyle w:val="TSNumberedParagraph11"/>
        <w:jc w:val="both"/>
      </w:pPr>
      <w:r w:rsidRPr="00892734">
        <w:t xml:space="preserve">ONR will require to be kept updated about progress and delivery of the required work via monthly meetings, to include a contract start-up meeting </w:t>
      </w:r>
      <w:r w:rsidR="0024518E">
        <w:t>to be arranged with the ONR Project Officer</w:t>
      </w:r>
      <w:r w:rsidRPr="00892734">
        <w:t>. Subsequent progress meeting should be arranged with the ONR Project Office and can be held at ONR’s office</w:t>
      </w:r>
      <w:r w:rsidR="0024518E">
        <w:t>s</w:t>
      </w:r>
      <w:r w:rsidRPr="00892734">
        <w:t>, or the contractor’s premises.</w:t>
      </w:r>
    </w:p>
    <w:p w:rsidR="001551D6" w:rsidRDefault="001551D6" w:rsidP="00E9478E">
      <w:pPr>
        <w:jc w:val="both"/>
      </w:pPr>
    </w:p>
    <w:p w:rsidR="001551D6" w:rsidRPr="00795BA9" w:rsidRDefault="001551D6" w:rsidP="0024518E">
      <w:pPr>
        <w:jc w:val="center"/>
        <w:rPr>
          <w:rFonts w:cs="Arial"/>
          <w:b/>
          <w:u w:val="single"/>
        </w:rPr>
      </w:pPr>
      <w:r>
        <w:rPr>
          <w:rFonts w:cs="Arial"/>
          <w:b/>
          <w:i/>
          <w:u w:val="single"/>
        </w:rPr>
        <w:br w:type="page"/>
      </w:r>
      <w:r w:rsidRPr="00EF1E64">
        <w:rPr>
          <w:rFonts w:cs="Arial"/>
          <w:b/>
          <w:i/>
          <w:u w:val="single"/>
        </w:rPr>
        <w:lastRenderedPageBreak/>
        <w:t>Appendix A – Typical recognised Ageing Management related codes,</w:t>
      </w:r>
      <w:r w:rsidR="0024518E">
        <w:rPr>
          <w:rFonts w:cs="Arial"/>
          <w:b/>
          <w:i/>
          <w:u w:val="single"/>
        </w:rPr>
        <w:t xml:space="preserve"> </w:t>
      </w:r>
      <w:r w:rsidRPr="00795BA9">
        <w:rPr>
          <w:rFonts w:cs="Arial"/>
          <w:b/>
          <w:u w:val="single"/>
        </w:rPr>
        <w:t>standards</w:t>
      </w:r>
      <w:r>
        <w:rPr>
          <w:rFonts w:cs="Arial"/>
          <w:b/>
          <w:u w:val="single"/>
        </w:rPr>
        <w:t xml:space="preserve"> and good practice</w:t>
      </w:r>
    </w:p>
    <w:p w:rsidR="001551D6" w:rsidRDefault="001551D6" w:rsidP="001551D6">
      <w:pPr>
        <w:ind w:left="720" w:hanging="720"/>
        <w:jc w:val="both"/>
        <w:rPr>
          <w:rFonts w:cs="Arial"/>
          <w:sz w:val="20"/>
          <w:szCs w:val="20"/>
        </w:rPr>
      </w:pPr>
    </w:p>
    <w:p w:rsidR="001551D6" w:rsidRPr="00795BA9" w:rsidRDefault="001551D6" w:rsidP="001551D6">
      <w:pPr>
        <w:rPr>
          <w:b/>
        </w:rPr>
      </w:pPr>
    </w:p>
    <w:p w:rsidR="001551D6" w:rsidRPr="00795BA9" w:rsidRDefault="001551D6" w:rsidP="001551D6">
      <w:pPr>
        <w:pStyle w:val="ListParagraph"/>
        <w:numPr>
          <w:ilvl w:val="0"/>
          <w:numId w:val="28"/>
        </w:numPr>
        <w:rPr>
          <w:rFonts w:cs="Arial"/>
          <w:b/>
          <w:sz w:val="20"/>
          <w:szCs w:val="20"/>
        </w:rPr>
      </w:pPr>
      <w:r w:rsidRPr="00795BA9">
        <w:rPr>
          <w:rFonts w:cs="Arial"/>
          <w:b/>
          <w:sz w:val="20"/>
          <w:szCs w:val="20"/>
        </w:rPr>
        <w:t>ONR Internal Guidance:</w:t>
      </w:r>
    </w:p>
    <w:p w:rsidR="001551D6" w:rsidRPr="005D0E07" w:rsidRDefault="001551D6" w:rsidP="001551D6">
      <w:pPr>
        <w:pStyle w:val="ListParagraph"/>
        <w:numPr>
          <w:ilvl w:val="1"/>
          <w:numId w:val="28"/>
        </w:numPr>
        <w:rPr>
          <w:rFonts w:cs="Arial"/>
          <w:sz w:val="20"/>
          <w:szCs w:val="20"/>
        </w:rPr>
      </w:pPr>
      <w:r w:rsidRPr="005D0E07">
        <w:rPr>
          <w:rFonts w:cs="Arial"/>
          <w:sz w:val="20"/>
          <w:szCs w:val="20"/>
        </w:rPr>
        <w:t xml:space="preserve">NS-TAST-GD-016 -  Integrity of Metal Components and Structures </w:t>
      </w:r>
    </w:p>
    <w:p w:rsidR="001551D6" w:rsidRPr="005D0E07" w:rsidRDefault="001551D6" w:rsidP="001551D6">
      <w:pPr>
        <w:pStyle w:val="ListParagraph"/>
        <w:numPr>
          <w:ilvl w:val="1"/>
          <w:numId w:val="28"/>
        </w:numPr>
        <w:rPr>
          <w:rFonts w:cs="Arial"/>
          <w:sz w:val="20"/>
          <w:szCs w:val="20"/>
        </w:rPr>
      </w:pPr>
      <w:r w:rsidRPr="005D0E07">
        <w:rPr>
          <w:rFonts w:cs="Arial"/>
          <w:sz w:val="20"/>
          <w:szCs w:val="20"/>
        </w:rPr>
        <w:t>NS-TAST-GD-009 – Examination, Inspection, Maintenance &amp; Testing of Items Important to Safety</w:t>
      </w:r>
    </w:p>
    <w:p w:rsidR="001551D6" w:rsidRPr="005D0E07" w:rsidRDefault="001551D6" w:rsidP="001551D6">
      <w:pPr>
        <w:pStyle w:val="ListParagraph"/>
        <w:numPr>
          <w:ilvl w:val="1"/>
          <w:numId w:val="28"/>
        </w:numPr>
        <w:rPr>
          <w:rFonts w:cs="Arial"/>
          <w:sz w:val="20"/>
          <w:szCs w:val="20"/>
        </w:rPr>
      </w:pPr>
      <w:r w:rsidRPr="005D0E07">
        <w:rPr>
          <w:rFonts w:cs="Arial"/>
          <w:sz w:val="20"/>
          <w:szCs w:val="20"/>
        </w:rPr>
        <w:t>NS-INSP-GD-028 - LC28 Examination, Inspection, Maintenance &amp; Testing [EIMT]</w:t>
      </w:r>
    </w:p>
    <w:p w:rsidR="001551D6" w:rsidRPr="005D0E07" w:rsidRDefault="001551D6" w:rsidP="001551D6">
      <w:pPr>
        <w:pStyle w:val="ListParagraph"/>
        <w:numPr>
          <w:ilvl w:val="1"/>
          <w:numId w:val="28"/>
        </w:numPr>
        <w:rPr>
          <w:rFonts w:cs="Arial"/>
          <w:sz w:val="20"/>
          <w:szCs w:val="20"/>
        </w:rPr>
      </w:pPr>
      <w:r w:rsidRPr="005D0E07">
        <w:rPr>
          <w:rFonts w:cs="Arial"/>
          <w:sz w:val="20"/>
          <w:szCs w:val="20"/>
        </w:rPr>
        <w:t xml:space="preserve">T-AST-057 – Design Safety Assurance For TAGs Refer to: </w:t>
      </w:r>
      <w:hyperlink r:id="rId9" w:history="1">
        <w:r w:rsidRPr="005D0E07">
          <w:rPr>
            <w:rStyle w:val="Hyperlink"/>
            <w:sz w:val="20"/>
            <w:szCs w:val="20"/>
          </w:rPr>
          <w:t>http://www.onr.org.uk/operational/tech_asst_guides/index.htm</w:t>
        </w:r>
      </w:hyperlink>
      <w:r w:rsidRPr="005D0E07">
        <w:rPr>
          <w:sz w:val="20"/>
          <w:szCs w:val="20"/>
        </w:rPr>
        <w:t xml:space="preserve"> </w:t>
      </w:r>
    </w:p>
    <w:p w:rsidR="001551D6" w:rsidRPr="005D0E07" w:rsidRDefault="001551D6" w:rsidP="001551D6">
      <w:pPr>
        <w:pStyle w:val="ListParagraph"/>
        <w:numPr>
          <w:ilvl w:val="1"/>
          <w:numId w:val="28"/>
        </w:numPr>
        <w:rPr>
          <w:rFonts w:cs="Arial"/>
          <w:sz w:val="20"/>
          <w:szCs w:val="20"/>
        </w:rPr>
      </w:pPr>
      <w:r w:rsidRPr="005D0E07">
        <w:rPr>
          <w:rFonts w:cs="Arial"/>
          <w:sz w:val="20"/>
          <w:szCs w:val="20"/>
        </w:rPr>
        <w:t xml:space="preserve">Safety Assessment Principles. Numerous relate, but principally:  </w:t>
      </w:r>
      <w:r w:rsidRPr="005D0E07">
        <w:rPr>
          <w:rFonts w:cs="Arial"/>
          <w:sz w:val="20"/>
          <w:szCs w:val="20"/>
          <w:lang w:eastAsia="en-GB"/>
        </w:rPr>
        <w:t>EMT.1 to EMT.8 Maintenance, inspection and testing,</w:t>
      </w:r>
      <w:r w:rsidR="009336BC">
        <w:rPr>
          <w:rFonts w:cs="Arial"/>
          <w:sz w:val="20"/>
          <w:szCs w:val="20"/>
          <w:lang w:eastAsia="en-GB"/>
        </w:rPr>
        <w:t xml:space="preserve"> </w:t>
      </w:r>
      <w:r w:rsidRPr="005D0E07">
        <w:rPr>
          <w:rFonts w:cs="Arial"/>
          <w:sz w:val="20"/>
          <w:szCs w:val="20"/>
          <w:lang w:eastAsia="en-GB"/>
        </w:rPr>
        <w:t>SC2,</w:t>
      </w:r>
      <w:r w:rsidR="009336BC">
        <w:rPr>
          <w:rFonts w:cs="Arial"/>
          <w:sz w:val="20"/>
          <w:szCs w:val="20"/>
          <w:lang w:eastAsia="en-GB"/>
        </w:rPr>
        <w:t xml:space="preserve"> </w:t>
      </w:r>
      <w:r w:rsidRPr="005D0E07">
        <w:rPr>
          <w:rFonts w:cs="Arial"/>
          <w:sz w:val="20"/>
          <w:szCs w:val="20"/>
          <w:lang w:eastAsia="en-GB"/>
        </w:rPr>
        <w:t>4,</w:t>
      </w:r>
      <w:r w:rsidR="009336BC">
        <w:rPr>
          <w:rFonts w:cs="Arial"/>
          <w:sz w:val="20"/>
          <w:szCs w:val="20"/>
          <w:lang w:eastAsia="en-GB"/>
        </w:rPr>
        <w:t xml:space="preserve"> </w:t>
      </w:r>
      <w:r w:rsidRPr="005D0E07">
        <w:rPr>
          <w:rFonts w:cs="Arial"/>
          <w:sz w:val="20"/>
          <w:szCs w:val="20"/>
          <w:lang w:eastAsia="en-GB"/>
        </w:rPr>
        <w:t>6 and 7 in the Safety Case series, EKP3 Defence in Depth, EQU1</w:t>
      </w:r>
      <w:proofErr w:type="gramStart"/>
      <w:r w:rsidRPr="005D0E07">
        <w:rPr>
          <w:rFonts w:cs="Arial"/>
          <w:sz w:val="20"/>
          <w:szCs w:val="20"/>
          <w:lang w:eastAsia="en-GB"/>
        </w:rPr>
        <w:t>:Qualifiction</w:t>
      </w:r>
      <w:proofErr w:type="gramEnd"/>
      <w:r w:rsidRPr="005D0E07">
        <w:rPr>
          <w:rFonts w:cs="Arial"/>
          <w:sz w:val="20"/>
          <w:szCs w:val="20"/>
          <w:lang w:eastAsia="en-GB"/>
        </w:rPr>
        <w:t xml:space="preserve"> Procedures, ERL2: Measures to achieve reliability, EAD</w:t>
      </w:r>
      <w:r w:rsidR="00C335D0">
        <w:rPr>
          <w:rFonts w:cs="Arial"/>
          <w:sz w:val="20"/>
          <w:szCs w:val="20"/>
          <w:lang w:eastAsia="en-GB"/>
        </w:rPr>
        <w:t>.</w:t>
      </w:r>
      <w:r w:rsidRPr="005D0E07">
        <w:rPr>
          <w:rFonts w:cs="Arial"/>
          <w:sz w:val="20"/>
          <w:szCs w:val="20"/>
          <w:lang w:eastAsia="en-GB"/>
        </w:rPr>
        <w:t>1: Lifetime Margins, ELO1: Access, EMC1-3,</w:t>
      </w:r>
      <w:r w:rsidR="009336BC">
        <w:rPr>
          <w:rFonts w:cs="Arial"/>
          <w:sz w:val="20"/>
          <w:szCs w:val="20"/>
          <w:lang w:eastAsia="en-GB"/>
        </w:rPr>
        <w:t xml:space="preserve"> </w:t>
      </w:r>
      <w:r w:rsidRPr="005D0E07">
        <w:rPr>
          <w:rFonts w:cs="Arial"/>
          <w:sz w:val="20"/>
          <w:szCs w:val="20"/>
          <w:lang w:eastAsia="en-GB"/>
        </w:rPr>
        <w:t>5-6,</w:t>
      </w:r>
      <w:r w:rsidR="009336BC">
        <w:rPr>
          <w:rFonts w:cs="Arial"/>
          <w:sz w:val="20"/>
          <w:szCs w:val="20"/>
          <w:lang w:eastAsia="en-GB"/>
        </w:rPr>
        <w:t xml:space="preserve"> </w:t>
      </w:r>
      <w:r w:rsidRPr="005D0E07">
        <w:rPr>
          <w:rFonts w:cs="Arial"/>
          <w:sz w:val="20"/>
          <w:szCs w:val="20"/>
          <w:lang w:eastAsia="en-GB"/>
        </w:rPr>
        <w:t>8,</w:t>
      </w:r>
      <w:r w:rsidR="009336BC">
        <w:rPr>
          <w:rFonts w:cs="Arial"/>
          <w:sz w:val="20"/>
          <w:szCs w:val="20"/>
          <w:lang w:eastAsia="en-GB"/>
        </w:rPr>
        <w:t xml:space="preserve"> </w:t>
      </w:r>
      <w:r w:rsidRPr="005D0E07">
        <w:rPr>
          <w:rFonts w:cs="Arial"/>
          <w:sz w:val="20"/>
          <w:szCs w:val="20"/>
          <w:lang w:eastAsia="en-GB"/>
        </w:rPr>
        <w:t>11</w:t>
      </w:r>
      <w:r w:rsidR="009336BC">
        <w:rPr>
          <w:rFonts w:cs="Arial"/>
          <w:sz w:val="20"/>
          <w:szCs w:val="20"/>
          <w:lang w:eastAsia="en-GB"/>
        </w:rPr>
        <w:t xml:space="preserve"> </w:t>
      </w:r>
      <w:r w:rsidRPr="005D0E07">
        <w:rPr>
          <w:rFonts w:cs="Arial"/>
          <w:sz w:val="20"/>
          <w:szCs w:val="20"/>
          <w:lang w:eastAsia="en-GB"/>
        </w:rPr>
        <w:t>,13,</w:t>
      </w:r>
      <w:r w:rsidR="009336BC">
        <w:rPr>
          <w:rFonts w:cs="Arial"/>
          <w:sz w:val="20"/>
          <w:szCs w:val="20"/>
          <w:lang w:eastAsia="en-GB"/>
        </w:rPr>
        <w:t xml:space="preserve"> </w:t>
      </w:r>
      <w:r w:rsidRPr="005D0E07">
        <w:rPr>
          <w:rFonts w:cs="Arial"/>
          <w:sz w:val="20"/>
          <w:szCs w:val="20"/>
          <w:lang w:eastAsia="en-GB"/>
        </w:rPr>
        <w:t xml:space="preserve">20-22 and 26, EES4: Sharing with other plants. Refer to: </w:t>
      </w:r>
      <w:hyperlink r:id="rId10" w:history="1">
        <w:r w:rsidRPr="005D0E07">
          <w:rPr>
            <w:rStyle w:val="Hyperlink"/>
            <w:sz w:val="20"/>
            <w:szCs w:val="20"/>
          </w:rPr>
          <w:t>http://www.onr.org.uk/saps/saps2014.pdf</w:t>
        </w:r>
      </w:hyperlink>
      <w:r w:rsidRPr="005D0E07">
        <w:rPr>
          <w:sz w:val="20"/>
          <w:szCs w:val="20"/>
        </w:rPr>
        <w:t xml:space="preserve"> </w:t>
      </w:r>
    </w:p>
    <w:p w:rsidR="001551D6" w:rsidRPr="00795BA9" w:rsidRDefault="001551D6" w:rsidP="001551D6">
      <w:pPr>
        <w:pStyle w:val="ListParagraph"/>
        <w:ind w:left="1080"/>
        <w:rPr>
          <w:rFonts w:cs="Arial"/>
          <w:sz w:val="20"/>
          <w:szCs w:val="20"/>
        </w:rPr>
      </w:pPr>
    </w:p>
    <w:p w:rsidR="001551D6" w:rsidRPr="00795BA9" w:rsidRDefault="001551D6" w:rsidP="001551D6">
      <w:pPr>
        <w:pStyle w:val="ListParagraph"/>
        <w:numPr>
          <w:ilvl w:val="0"/>
          <w:numId w:val="28"/>
        </w:numPr>
        <w:rPr>
          <w:rFonts w:cs="Arial"/>
          <w:b/>
          <w:sz w:val="20"/>
          <w:szCs w:val="20"/>
        </w:rPr>
      </w:pPr>
      <w:r w:rsidRPr="00795BA9">
        <w:rPr>
          <w:rFonts w:cs="Arial"/>
          <w:b/>
          <w:sz w:val="20"/>
          <w:szCs w:val="20"/>
        </w:rPr>
        <w:t>HSE Research Reports:</w:t>
      </w:r>
    </w:p>
    <w:p w:rsidR="001551D6" w:rsidRPr="00795BA9" w:rsidRDefault="001551D6" w:rsidP="001551D6">
      <w:pPr>
        <w:pStyle w:val="ListParagraph"/>
        <w:numPr>
          <w:ilvl w:val="1"/>
          <w:numId w:val="28"/>
        </w:numPr>
        <w:rPr>
          <w:rFonts w:cs="Arial"/>
          <w:sz w:val="20"/>
          <w:szCs w:val="20"/>
        </w:rPr>
      </w:pPr>
      <w:r w:rsidRPr="00795BA9">
        <w:rPr>
          <w:rFonts w:cs="Arial"/>
          <w:sz w:val="20"/>
          <w:szCs w:val="20"/>
        </w:rPr>
        <w:t>RR912, Management of Ageing. A framework for nuclear chemical facilities, specifically:</w:t>
      </w:r>
    </w:p>
    <w:p w:rsidR="001551D6" w:rsidRPr="00795BA9" w:rsidRDefault="001551D6" w:rsidP="001551D6">
      <w:pPr>
        <w:pStyle w:val="ListParagraph"/>
        <w:numPr>
          <w:ilvl w:val="2"/>
          <w:numId w:val="28"/>
        </w:numPr>
        <w:rPr>
          <w:rFonts w:cs="Arial"/>
          <w:sz w:val="20"/>
          <w:szCs w:val="20"/>
        </w:rPr>
      </w:pPr>
      <w:r w:rsidRPr="00795BA9">
        <w:rPr>
          <w:rFonts w:cs="Arial"/>
          <w:sz w:val="20"/>
          <w:szCs w:val="20"/>
        </w:rPr>
        <w:t>Appendix D – degradation and failure mechanisms by facilities</w:t>
      </w:r>
      <w:r>
        <w:rPr>
          <w:rFonts w:cs="Arial"/>
          <w:sz w:val="20"/>
          <w:szCs w:val="20"/>
        </w:rPr>
        <w:t>,</w:t>
      </w:r>
    </w:p>
    <w:p w:rsidR="001551D6" w:rsidRPr="00795BA9" w:rsidRDefault="001551D6" w:rsidP="001551D6">
      <w:pPr>
        <w:pStyle w:val="ListParagraph"/>
        <w:numPr>
          <w:ilvl w:val="2"/>
          <w:numId w:val="28"/>
        </w:numPr>
        <w:rPr>
          <w:rFonts w:cs="Arial"/>
          <w:sz w:val="20"/>
          <w:szCs w:val="20"/>
        </w:rPr>
      </w:pPr>
      <w:r w:rsidRPr="00795BA9">
        <w:rPr>
          <w:rFonts w:cs="Arial"/>
          <w:sz w:val="20"/>
          <w:szCs w:val="20"/>
        </w:rPr>
        <w:t>Appendix E – Compendium of NDT Techniques</w:t>
      </w:r>
      <w:r>
        <w:rPr>
          <w:rFonts w:cs="Arial"/>
          <w:sz w:val="20"/>
          <w:szCs w:val="20"/>
        </w:rPr>
        <w:t>,</w:t>
      </w:r>
    </w:p>
    <w:p w:rsidR="001551D6" w:rsidRPr="00795BA9" w:rsidRDefault="001551D6" w:rsidP="001551D6">
      <w:pPr>
        <w:pStyle w:val="ListParagraph"/>
        <w:numPr>
          <w:ilvl w:val="2"/>
          <w:numId w:val="28"/>
        </w:numPr>
        <w:rPr>
          <w:rFonts w:cs="Arial"/>
          <w:sz w:val="20"/>
          <w:szCs w:val="20"/>
        </w:rPr>
      </w:pPr>
      <w:r w:rsidRPr="00795BA9">
        <w:rPr>
          <w:rFonts w:cs="Arial"/>
          <w:sz w:val="20"/>
          <w:szCs w:val="20"/>
        </w:rPr>
        <w:t>References – Section 7</w:t>
      </w:r>
      <w:r>
        <w:rPr>
          <w:rFonts w:cs="Arial"/>
          <w:sz w:val="20"/>
          <w:szCs w:val="20"/>
        </w:rPr>
        <w:t>.</w:t>
      </w:r>
    </w:p>
    <w:p w:rsidR="001551D6" w:rsidRPr="00795BA9" w:rsidRDefault="001551D6" w:rsidP="001551D6">
      <w:pPr>
        <w:pStyle w:val="ListParagraph"/>
        <w:numPr>
          <w:ilvl w:val="1"/>
          <w:numId w:val="28"/>
        </w:numPr>
        <w:rPr>
          <w:rFonts w:cs="Arial"/>
          <w:sz w:val="20"/>
          <w:szCs w:val="20"/>
        </w:rPr>
      </w:pPr>
      <w:r w:rsidRPr="00795BA9">
        <w:rPr>
          <w:rFonts w:cs="Arial"/>
          <w:sz w:val="20"/>
          <w:szCs w:val="20"/>
        </w:rPr>
        <w:t>RR509, Plant Ageing, Management of equipment containing hazardous fluids or pressure</w:t>
      </w:r>
      <w:proofErr w:type="gramStart"/>
      <w:r w:rsidRPr="00795BA9">
        <w:rPr>
          <w:rFonts w:cs="Arial"/>
          <w:sz w:val="20"/>
          <w:szCs w:val="20"/>
        </w:rPr>
        <w:t>,  [</w:t>
      </w:r>
      <w:proofErr w:type="gramEnd"/>
      <w:r w:rsidRPr="00795BA9">
        <w:rPr>
          <w:rFonts w:cs="Arial"/>
          <w:sz w:val="20"/>
          <w:szCs w:val="20"/>
        </w:rPr>
        <w:t>The ba</w:t>
      </w:r>
      <w:r>
        <w:rPr>
          <w:rFonts w:cs="Arial"/>
          <w:sz w:val="20"/>
          <w:szCs w:val="20"/>
        </w:rPr>
        <w:t>sis on which RR912 was written].</w:t>
      </w:r>
    </w:p>
    <w:p w:rsidR="001551D6" w:rsidRPr="00795BA9" w:rsidRDefault="001551D6" w:rsidP="001551D6">
      <w:pPr>
        <w:pStyle w:val="ListParagraph"/>
        <w:numPr>
          <w:ilvl w:val="1"/>
          <w:numId w:val="28"/>
        </w:numPr>
        <w:rPr>
          <w:rFonts w:cs="Arial"/>
          <w:sz w:val="20"/>
          <w:szCs w:val="20"/>
        </w:rPr>
      </w:pPr>
      <w:r w:rsidRPr="00795BA9">
        <w:rPr>
          <w:rFonts w:cs="Arial"/>
          <w:sz w:val="20"/>
          <w:szCs w:val="20"/>
        </w:rPr>
        <w:t xml:space="preserve">RR823, Plant Ageing Study, </w:t>
      </w:r>
      <w:r>
        <w:rPr>
          <w:rFonts w:cs="Arial"/>
          <w:sz w:val="20"/>
          <w:szCs w:val="20"/>
        </w:rPr>
        <w:t xml:space="preserve">Refer to: </w:t>
      </w:r>
      <w:hyperlink r:id="rId11" w:history="1">
        <w:r w:rsidRPr="009F4816">
          <w:rPr>
            <w:rStyle w:val="Hyperlink"/>
            <w:rFonts w:cs="Arial"/>
            <w:sz w:val="20"/>
            <w:szCs w:val="20"/>
          </w:rPr>
          <w:t>http://www.hse.gov.uk/research/rrhtm/</w:t>
        </w:r>
      </w:hyperlink>
      <w:r>
        <w:rPr>
          <w:rFonts w:cs="Arial"/>
          <w:sz w:val="20"/>
          <w:szCs w:val="20"/>
        </w:rPr>
        <w:t xml:space="preserve"> </w:t>
      </w:r>
    </w:p>
    <w:p w:rsidR="001551D6" w:rsidRPr="00795BA9" w:rsidRDefault="001551D6" w:rsidP="001551D6">
      <w:pPr>
        <w:pStyle w:val="ListParagraph"/>
        <w:numPr>
          <w:ilvl w:val="1"/>
          <w:numId w:val="28"/>
        </w:numPr>
        <w:rPr>
          <w:rFonts w:cs="Arial"/>
          <w:sz w:val="20"/>
          <w:szCs w:val="20"/>
        </w:rPr>
      </w:pPr>
      <w:r w:rsidRPr="00795BA9">
        <w:rPr>
          <w:rFonts w:cs="Arial"/>
          <w:sz w:val="20"/>
          <w:szCs w:val="20"/>
        </w:rPr>
        <w:t>Key Project 4 – Ageing an</w:t>
      </w:r>
      <w:r>
        <w:rPr>
          <w:rFonts w:cs="Arial"/>
          <w:sz w:val="20"/>
          <w:szCs w:val="20"/>
        </w:rPr>
        <w:t>d Life Extension Key Programme.</w:t>
      </w:r>
    </w:p>
    <w:p w:rsidR="001551D6" w:rsidRPr="00795BA9" w:rsidRDefault="001551D6" w:rsidP="001551D6">
      <w:pPr>
        <w:pStyle w:val="ListParagraph"/>
        <w:numPr>
          <w:ilvl w:val="1"/>
          <w:numId w:val="28"/>
        </w:numPr>
        <w:rPr>
          <w:rFonts w:cs="Arial"/>
          <w:sz w:val="20"/>
          <w:szCs w:val="20"/>
        </w:rPr>
      </w:pPr>
      <w:r w:rsidRPr="00795BA9">
        <w:rPr>
          <w:rFonts w:cs="Arial"/>
          <w:sz w:val="20"/>
          <w:szCs w:val="20"/>
        </w:rPr>
        <w:t>HSE Document. The mechanical integrity of plant containing hazardous sub</w:t>
      </w:r>
      <w:r>
        <w:rPr>
          <w:rFonts w:cs="Arial"/>
          <w:sz w:val="20"/>
          <w:szCs w:val="20"/>
        </w:rPr>
        <w:t>stances: A guide to inspectors.</w:t>
      </w:r>
    </w:p>
    <w:p w:rsidR="001551D6" w:rsidRPr="00795BA9" w:rsidRDefault="001551D6" w:rsidP="001551D6">
      <w:pPr>
        <w:pStyle w:val="ListParagraph"/>
        <w:numPr>
          <w:ilvl w:val="1"/>
          <w:numId w:val="28"/>
        </w:numPr>
        <w:rPr>
          <w:rFonts w:cs="Arial"/>
          <w:sz w:val="20"/>
          <w:szCs w:val="20"/>
        </w:rPr>
      </w:pPr>
      <w:r w:rsidRPr="00795BA9">
        <w:rPr>
          <w:rFonts w:cs="Arial"/>
          <w:sz w:val="20"/>
          <w:szCs w:val="20"/>
        </w:rPr>
        <w:t>Best practice for risk based inspection as a part of plant integrity management, Contract Research Repor</w:t>
      </w:r>
      <w:r>
        <w:rPr>
          <w:rFonts w:cs="Arial"/>
          <w:sz w:val="20"/>
          <w:szCs w:val="20"/>
        </w:rPr>
        <w:t>t 363/2001.</w:t>
      </w:r>
    </w:p>
    <w:p w:rsidR="001551D6" w:rsidRPr="00C94034" w:rsidRDefault="001551D6" w:rsidP="001551D6">
      <w:pPr>
        <w:pStyle w:val="ListParagraph"/>
        <w:ind w:left="1070"/>
        <w:rPr>
          <w:rFonts w:cs="Arial"/>
          <w:sz w:val="20"/>
          <w:szCs w:val="20"/>
        </w:rPr>
      </w:pPr>
    </w:p>
    <w:p w:rsidR="001551D6" w:rsidRPr="00795BA9" w:rsidRDefault="001551D6" w:rsidP="001551D6">
      <w:pPr>
        <w:numPr>
          <w:ilvl w:val="0"/>
          <w:numId w:val="28"/>
        </w:numPr>
        <w:spacing w:before="100" w:beforeAutospacing="1" w:after="100" w:afterAutospacing="1"/>
        <w:rPr>
          <w:rFonts w:cs="Arial"/>
          <w:b/>
          <w:bCs/>
          <w:sz w:val="20"/>
          <w:szCs w:val="20"/>
        </w:rPr>
      </w:pPr>
      <w:r w:rsidRPr="00795BA9">
        <w:rPr>
          <w:rFonts w:cs="Arial"/>
          <w:b/>
          <w:bCs/>
          <w:sz w:val="20"/>
          <w:szCs w:val="20"/>
        </w:rPr>
        <w:t>National &amp; International Standards [ISO/BS]:</w:t>
      </w:r>
    </w:p>
    <w:p w:rsidR="001551D6" w:rsidRPr="00795BA9" w:rsidRDefault="001551D6" w:rsidP="001551D6">
      <w:pPr>
        <w:numPr>
          <w:ilvl w:val="1"/>
          <w:numId w:val="28"/>
        </w:numPr>
        <w:spacing w:before="100" w:beforeAutospacing="1" w:after="100" w:afterAutospacing="1"/>
        <w:rPr>
          <w:rFonts w:cs="Arial"/>
          <w:bCs/>
          <w:sz w:val="20"/>
          <w:szCs w:val="20"/>
        </w:rPr>
      </w:pPr>
      <w:r w:rsidRPr="00795BA9">
        <w:rPr>
          <w:rFonts w:cs="Arial"/>
          <w:bCs/>
          <w:sz w:val="20"/>
          <w:szCs w:val="20"/>
        </w:rPr>
        <w:t>ISO 55000 will specify the overview, concepts and terminology in Asset Management.</w:t>
      </w:r>
    </w:p>
    <w:p w:rsidR="001551D6" w:rsidRPr="00795BA9" w:rsidRDefault="001551D6" w:rsidP="001551D6">
      <w:pPr>
        <w:numPr>
          <w:ilvl w:val="1"/>
          <w:numId w:val="28"/>
        </w:numPr>
        <w:spacing w:before="100" w:beforeAutospacing="1" w:after="100" w:afterAutospacing="1"/>
        <w:rPr>
          <w:rFonts w:cs="Arial"/>
          <w:bCs/>
          <w:sz w:val="20"/>
          <w:szCs w:val="20"/>
        </w:rPr>
      </w:pPr>
      <w:r w:rsidRPr="00795BA9">
        <w:rPr>
          <w:rFonts w:cs="Arial"/>
          <w:bCs/>
          <w:sz w:val="20"/>
          <w:szCs w:val="20"/>
        </w:rPr>
        <w:t>ISO 55001 will define the requirements for a "management system" for Asset Management.</w:t>
      </w:r>
    </w:p>
    <w:p w:rsidR="001551D6" w:rsidRPr="00795BA9" w:rsidRDefault="001551D6" w:rsidP="001551D6">
      <w:pPr>
        <w:numPr>
          <w:ilvl w:val="1"/>
          <w:numId w:val="28"/>
        </w:numPr>
        <w:spacing w:before="100" w:beforeAutospacing="1" w:after="100" w:afterAutospacing="1"/>
        <w:rPr>
          <w:rFonts w:cs="Arial"/>
          <w:bCs/>
          <w:sz w:val="20"/>
          <w:szCs w:val="20"/>
        </w:rPr>
      </w:pPr>
      <w:r w:rsidRPr="00795BA9">
        <w:rPr>
          <w:rFonts w:cs="Arial"/>
          <w:bCs/>
          <w:sz w:val="20"/>
          <w:szCs w:val="20"/>
        </w:rPr>
        <w:t>ISO 55002 provides interpretation and implementation guidance for such a management system</w:t>
      </w:r>
    </w:p>
    <w:p w:rsidR="001551D6" w:rsidRPr="00795BA9" w:rsidRDefault="001551D6" w:rsidP="001551D6">
      <w:pPr>
        <w:numPr>
          <w:ilvl w:val="1"/>
          <w:numId w:val="28"/>
        </w:numPr>
        <w:spacing w:before="100" w:beforeAutospacing="1" w:after="100" w:afterAutospacing="1"/>
        <w:rPr>
          <w:rFonts w:cs="Arial"/>
          <w:bCs/>
          <w:sz w:val="20"/>
          <w:szCs w:val="20"/>
        </w:rPr>
      </w:pPr>
      <w:r w:rsidRPr="00795BA9">
        <w:rPr>
          <w:rFonts w:cs="Arial"/>
          <w:sz w:val="20"/>
          <w:szCs w:val="20"/>
          <w:lang w:val="en"/>
        </w:rPr>
        <w:t>ISO/IEC 17021:2011 Conformity assessment -- Requirements for bodies providing audit and certification of management systems [Part 5 – Asset Management]</w:t>
      </w:r>
    </w:p>
    <w:p w:rsidR="001551D6" w:rsidRPr="00795BA9" w:rsidRDefault="001551D6" w:rsidP="001551D6">
      <w:pPr>
        <w:pStyle w:val="ListParagraph"/>
        <w:numPr>
          <w:ilvl w:val="1"/>
          <w:numId w:val="28"/>
        </w:numPr>
        <w:rPr>
          <w:rFonts w:cs="Arial"/>
          <w:sz w:val="20"/>
          <w:szCs w:val="20"/>
        </w:rPr>
      </w:pPr>
      <w:r w:rsidRPr="00795BA9">
        <w:rPr>
          <w:rFonts w:cs="Arial"/>
          <w:sz w:val="20"/>
          <w:szCs w:val="20"/>
        </w:rPr>
        <w:t>PAS 55 Institute of Asset Management [IAM] Publically Available Standard for Asset Management [now superseded by ISO55000]</w:t>
      </w:r>
    </w:p>
    <w:p w:rsidR="001551D6" w:rsidRPr="00795BA9" w:rsidRDefault="001551D6" w:rsidP="001551D6">
      <w:pPr>
        <w:pStyle w:val="ListParagraph"/>
        <w:ind w:left="1080"/>
        <w:rPr>
          <w:rFonts w:cs="Arial"/>
          <w:sz w:val="20"/>
          <w:szCs w:val="20"/>
        </w:rPr>
      </w:pPr>
    </w:p>
    <w:p w:rsidR="001551D6" w:rsidRPr="00795BA9" w:rsidRDefault="001551D6" w:rsidP="001551D6">
      <w:pPr>
        <w:pStyle w:val="ListParagraph"/>
        <w:numPr>
          <w:ilvl w:val="0"/>
          <w:numId w:val="28"/>
        </w:numPr>
        <w:rPr>
          <w:rFonts w:cs="Arial"/>
          <w:b/>
          <w:sz w:val="20"/>
          <w:szCs w:val="20"/>
        </w:rPr>
      </w:pPr>
      <w:r w:rsidRPr="00795BA9">
        <w:rPr>
          <w:rFonts w:cs="Arial"/>
          <w:b/>
          <w:sz w:val="20"/>
          <w:szCs w:val="20"/>
        </w:rPr>
        <w:t>International Atomic Energy Agency [IAEA]:</w:t>
      </w:r>
    </w:p>
    <w:p w:rsidR="001551D6" w:rsidRPr="00795BA9" w:rsidRDefault="001551D6" w:rsidP="001551D6">
      <w:pPr>
        <w:pStyle w:val="ListParagraph"/>
        <w:numPr>
          <w:ilvl w:val="1"/>
          <w:numId w:val="28"/>
        </w:numPr>
        <w:rPr>
          <w:rFonts w:cs="Arial"/>
          <w:sz w:val="20"/>
          <w:szCs w:val="20"/>
        </w:rPr>
      </w:pPr>
      <w:r w:rsidRPr="00795BA9">
        <w:rPr>
          <w:rFonts w:cs="Arial"/>
          <w:sz w:val="20"/>
          <w:szCs w:val="20"/>
        </w:rPr>
        <w:t>INSAG-14, Safe Management of the Operating Lifetime of Nuclear Power Plants, IAEA, A report by the International nuclear safety advisory group.</w:t>
      </w:r>
    </w:p>
    <w:p w:rsidR="001551D6" w:rsidRPr="00795BA9" w:rsidRDefault="001551D6" w:rsidP="001551D6">
      <w:pPr>
        <w:pStyle w:val="ListParagraph"/>
        <w:numPr>
          <w:ilvl w:val="1"/>
          <w:numId w:val="28"/>
        </w:numPr>
        <w:rPr>
          <w:rFonts w:cs="Arial"/>
          <w:sz w:val="20"/>
          <w:szCs w:val="20"/>
        </w:rPr>
      </w:pPr>
      <w:r w:rsidRPr="00795BA9">
        <w:rPr>
          <w:rFonts w:cs="Arial"/>
          <w:sz w:val="20"/>
          <w:szCs w:val="20"/>
        </w:rPr>
        <w:t>INSAG-19, Maintaining the Design Integrity of Nuclear Installations throughout their Operating Life, IAEA, A report by the International nuclear safety advisory group.</w:t>
      </w:r>
    </w:p>
    <w:p w:rsidR="001551D6" w:rsidRPr="00795BA9" w:rsidRDefault="001551D6" w:rsidP="001551D6">
      <w:pPr>
        <w:pStyle w:val="ListParagraph"/>
        <w:numPr>
          <w:ilvl w:val="1"/>
          <w:numId w:val="28"/>
        </w:numPr>
        <w:rPr>
          <w:rFonts w:cs="Arial"/>
          <w:sz w:val="20"/>
          <w:szCs w:val="20"/>
        </w:rPr>
      </w:pPr>
      <w:r w:rsidRPr="00795BA9">
        <w:rPr>
          <w:rFonts w:cs="Arial"/>
          <w:sz w:val="20"/>
          <w:szCs w:val="20"/>
        </w:rPr>
        <w:t>Safety Standards Series, Ageing Management for Nuclear Power Plants, NS-G-2.12, specifically:</w:t>
      </w:r>
    </w:p>
    <w:p w:rsidR="001551D6" w:rsidRPr="00795BA9" w:rsidRDefault="001551D6" w:rsidP="001551D6">
      <w:pPr>
        <w:pStyle w:val="ListParagraph"/>
        <w:numPr>
          <w:ilvl w:val="2"/>
          <w:numId w:val="28"/>
        </w:numPr>
        <w:rPr>
          <w:rFonts w:cs="Arial"/>
          <w:sz w:val="20"/>
          <w:szCs w:val="20"/>
        </w:rPr>
      </w:pPr>
      <w:r w:rsidRPr="00795BA9">
        <w:rPr>
          <w:rFonts w:cs="Arial"/>
          <w:sz w:val="20"/>
          <w:szCs w:val="20"/>
        </w:rPr>
        <w:t>Table 2 – Generic attributes of an effective ageing management programme</w:t>
      </w:r>
    </w:p>
    <w:p w:rsidR="001551D6" w:rsidRPr="00795BA9" w:rsidRDefault="001551D6" w:rsidP="001551D6">
      <w:pPr>
        <w:pStyle w:val="ListParagraph"/>
        <w:numPr>
          <w:ilvl w:val="2"/>
          <w:numId w:val="28"/>
        </w:numPr>
        <w:rPr>
          <w:rFonts w:cs="Arial"/>
          <w:sz w:val="20"/>
          <w:szCs w:val="20"/>
        </w:rPr>
      </w:pPr>
      <w:r w:rsidRPr="00795BA9">
        <w:rPr>
          <w:rFonts w:cs="Arial"/>
          <w:sz w:val="20"/>
          <w:szCs w:val="20"/>
        </w:rPr>
        <w:t>Annex 1 – Existing publications on Ageing Management</w:t>
      </w:r>
    </w:p>
    <w:p w:rsidR="001551D6" w:rsidRPr="00795BA9" w:rsidRDefault="001551D6" w:rsidP="001551D6">
      <w:pPr>
        <w:pStyle w:val="ListParagraph"/>
        <w:numPr>
          <w:ilvl w:val="2"/>
          <w:numId w:val="28"/>
        </w:numPr>
        <w:rPr>
          <w:rFonts w:cs="Arial"/>
          <w:sz w:val="20"/>
          <w:szCs w:val="20"/>
        </w:rPr>
      </w:pPr>
      <w:r w:rsidRPr="00795BA9">
        <w:rPr>
          <w:rFonts w:cs="Arial"/>
          <w:sz w:val="20"/>
          <w:szCs w:val="20"/>
        </w:rPr>
        <w:t>Annex iii – Examples of Significant ageing mechanisms and susceptible materials and components – particularly informative</w:t>
      </w:r>
    </w:p>
    <w:p w:rsidR="001551D6" w:rsidRPr="00795BA9" w:rsidRDefault="001551D6" w:rsidP="001551D6">
      <w:pPr>
        <w:pStyle w:val="ListParagraph"/>
        <w:numPr>
          <w:ilvl w:val="1"/>
          <w:numId w:val="28"/>
        </w:numPr>
        <w:rPr>
          <w:rFonts w:cs="Arial"/>
          <w:sz w:val="20"/>
          <w:szCs w:val="20"/>
        </w:rPr>
      </w:pPr>
      <w:r w:rsidRPr="00795BA9">
        <w:rPr>
          <w:rFonts w:cs="Arial"/>
          <w:sz w:val="20"/>
          <w:szCs w:val="20"/>
        </w:rPr>
        <w:t>Safety Standards Series, Review and Assessment of Nuclear Facilities by the Regulatory Body, GS-G-1.2.</w:t>
      </w:r>
    </w:p>
    <w:p w:rsidR="001551D6" w:rsidRPr="00795BA9" w:rsidRDefault="001551D6" w:rsidP="001551D6">
      <w:pPr>
        <w:pStyle w:val="ListParagraph"/>
        <w:numPr>
          <w:ilvl w:val="1"/>
          <w:numId w:val="28"/>
        </w:numPr>
        <w:rPr>
          <w:rFonts w:cs="Arial"/>
          <w:sz w:val="20"/>
          <w:szCs w:val="20"/>
        </w:rPr>
      </w:pPr>
      <w:r w:rsidRPr="00795BA9">
        <w:rPr>
          <w:rFonts w:cs="Arial"/>
          <w:sz w:val="20"/>
          <w:szCs w:val="20"/>
        </w:rPr>
        <w:t>IAEA has a safety knowledge base for ageing and long-term operation of nuclear power plants (SKALTO) which aims to develop a framework for sharing information on ageing management and long term operation of nuclear power plants. It provides published documents and information related to this.</w:t>
      </w:r>
    </w:p>
    <w:p w:rsidR="001551D6" w:rsidRPr="00795BA9" w:rsidRDefault="001551D6" w:rsidP="001551D6">
      <w:pPr>
        <w:pStyle w:val="ListParagraph"/>
        <w:numPr>
          <w:ilvl w:val="1"/>
          <w:numId w:val="28"/>
        </w:numPr>
        <w:rPr>
          <w:rFonts w:cs="Arial"/>
          <w:sz w:val="20"/>
          <w:szCs w:val="20"/>
        </w:rPr>
      </w:pPr>
      <w:r w:rsidRPr="00795BA9">
        <w:rPr>
          <w:rFonts w:cs="Arial"/>
          <w:sz w:val="20"/>
          <w:szCs w:val="20"/>
        </w:rPr>
        <w:t xml:space="preserve">Assessment and management of ageing of major nuclear power plant components important to safety: PWR Pressure Vessels, IAEA-TECDOC-1556. </w:t>
      </w:r>
    </w:p>
    <w:p w:rsidR="001551D6" w:rsidRPr="006B3F27" w:rsidRDefault="000B4246" w:rsidP="001551D6">
      <w:pPr>
        <w:pStyle w:val="ListParagraph"/>
        <w:numPr>
          <w:ilvl w:val="1"/>
          <w:numId w:val="28"/>
        </w:numPr>
        <w:rPr>
          <w:rFonts w:cs="Arial"/>
          <w:sz w:val="16"/>
          <w:szCs w:val="20"/>
        </w:rPr>
      </w:pPr>
      <w:hyperlink r:id="rId12" w:history="1">
        <w:r w:rsidR="001551D6" w:rsidRPr="006B3F27">
          <w:rPr>
            <w:rStyle w:val="Hyperlink"/>
            <w:rFonts w:cs="Arial"/>
            <w:sz w:val="20"/>
            <w:szCs w:val="20"/>
          </w:rPr>
          <w:t>www.iaea.org</w:t>
        </w:r>
      </w:hyperlink>
      <w:r w:rsidR="001551D6" w:rsidRPr="006B3F27">
        <w:rPr>
          <w:rFonts w:cs="Arial"/>
          <w:sz w:val="20"/>
        </w:rPr>
        <w:t>.</w:t>
      </w:r>
    </w:p>
    <w:p w:rsidR="001551D6" w:rsidRPr="00862C7F" w:rsidRDefault="001551D6" w:rsidP="001551D6">
      <w:pPr>
        <w:rPr>
          <w:rFonts w:cs="Arial"/>
          <w:sz w:val="20"/>
          <w:szCs w:val="20"/>
        </w:rPr>
      </w:pPr>
    </w:p>
    <w:p w:rsidR="001551D6" w:rsidRPr="00795BA9" w:rsidRDefault="001551D6" w:rsidP="001551D6">
      <w:pPr>
        <w:pStyle w:val="ListParagraph"/>
        <w:numPr>
          <w:ilvl w:val="0"/>
          <w:numId w:val="28"/>
        </w:numPr>
        <w:rPr>
          <w:rFonts w:cs="Arial"/>
          <w:b/>
          <w:sz w:val="20"/>
          <w:szCs w:val="20"/>
        </w:rPr>
      </w:pPr>
      <w:r w:rsidRPr="00795BA9">
        <w:rPr>
          <w:rFonts w:cs="Arial"/>
          <w:b/>
          <w:iCs/>
          <w:sz w:val="20"/>
          <w:szCs w:val="20"/>
        </w:rPr>
        <w:t>Western European Nuclear Regulators’ Association [WENRA]:</w:t>
      </w:r>
    </w:p>
    <w:p w:rsidR="001551D6" w:rsidRPr="00795BA9" w:rsidRDefault="001551D6" w:rsidP="001551D6">
      <w:pPr>
        <w:pStyle w:val="ListParagraph"/>
        <w:numPr>
          <w:ilvl w:val="1"/>
          <w:numId w:val="28"/>
        </w:numPr>
        <w:rPr>
          <w:rFonts w:cs="Arial"/>
          <w:sz w:val="16"/>
          <w:szCs w:val="20"/>
        </w:rPr>
      </w:pPr>
      <w:r w:rsidRPr="00795BA9">
        <w:rPr>
          <w:rFonts w:cs="Arial"/>
          <w:iCs/>
          <w:sz w:val="20"/>
        </w:rPr>
        <w:t>Reactor Harmonization Group.  WENRA Reactor Reference Safety Levels.</w:t>
      </w:r>
      <w:r w:rsidRPr="00795BA9">
        <w:rPr>
          <w:rFonts w:cs="Arial"/>
          <w:sz w:val="20"/>
        </w:rPr>
        <w:t xml:space="preserve"> WENRA. January 2008.</w:t>
      </w:r>
    </w:p>
    <w:p w:rsidR="001551D6" w:rsidRPr="00EF1E64" w:rsidRDefault="001551D6" w:rsidP="001551D6">
      <w:pPr>
        <w:pStyle w:val="ListParagraph"/>
        <w:numPr>
          <w:ilvl w:val="1"/>
          <w:numId w:val="28"/>
        </w:numPr>
        <w:rPr>
          <w:rFonts w:cs="Arial"/>
          <w:sz w:val="20"/>
          <w:szCs w:val="20"/>
        </w:rPr>
      </w:pPr>
      <w:r w:rsidRPr="00795BA9">
        <w:rPr>
          <w:rFonts w:cs="Arial"/>
          <w:sz w:val="20"/>
          <w:szCs w:val="20"/>
          <w:lang w:val="en"/>
        </w:rPr>
        <w:t>Updated Reference Levels for existing NPP - November 2013</w:t>
      </w:r>
    </w:p>
    <w:p w:rsidR="001551D6" w:rsidRPr="00EF1E64" w:rsidRDefault="001551D6" w:rsidP="001551D6">
      <w:pPr>
        <w:pStyle w:val="ListParagraph"/>
        <w:numPr>
          <w:ilvl w:val="1"/>
          <w:numId w:val="28"/>
        </w:numPr>
        <w:rPr>
          <w:rFonts w:cs="Arial"/>
          <w:sz w:val="20"/>
          <w:szCs w:val="20"/>
        </w:rPr>
      </w:pPr>
      <w:r w:rsidRPr="00746389">
        <w:rPr>
          <w:rFonts w:cs="Arial"/>
          <w:sz w:val="20"/>
          <w:szCs w:val="20"/>
        </w:rPr>
        <w:t>Topical Peer Review</w:t>
      </w:r>
      <w:r w:rsidRPr="00D74FA6">
        <w:rPr>
          <w:rFonts w:cs="Arial"/>
          <w:sz w:val="20"/>
          <w:szCs w:val="20"/>
        </w:rPr>
        <w:t xml:space="preserve"> </w:t>
      </w:r>
      <w:r w:rsidRPr="00746389">
        <w:rPr>
          <w:rFonts w:cs="Arial"/>
          <w:sz w:val="20"/>
          <w:szCs w:val="20"/>
        </w:rPr>
        <w:t>2017</w:t>
      </w:r>
      <w:r>
        <w:rPr>
          <w:rFonts w:cs="Arial"/>
          <w:sz w:val="20"/>
          <w:szCs w:val="20"/>
        </w:rPr>
        <w:t>(ENSREG)</w:t>
      </w:r>
    </w:p>
    <w:p w:rsidR="001551D6" w:rsidRPr="00795BA9" w:rsidRDefault="000B4246" w:rsidP="001551D6">
      <w:pPr>
        <w:pStyle w:val="ListParagraph"/>
        <w:numPr>
          <w:ilvl w:val="1"/>
          <w:numId w:val="28"/>
        </w:numPr>
        <w:rPr>
          <w:rFonts w:cs="Arial"/>
          <w:sz w:val="20"/>
          <w:szCs w:val="20"/>
        </w:rPr>
      </w:pPr>
      <w:hyperlink r:id="rId13" w:history="1">
        <w:r w:rsidR="001551D6" w:rsidRPr="00795BA9">
          <w:rPr>
            <w:rStyle w:val="Hyperlink"/>
            <w:rFonts w:cs="Arial"/>
            <w:sz w:val="20"/>
            <w:szCs w:val="20"/>
          </w:rPr>
          <w:t>www.wenra.org</w:t>
        </w:r>
      </w:hyperlink>
    </w:p>
    <w:p w:rsidR="001551D6" w:rsidRPr="00795BA9" w:rsidRDefault="001551D6" w:rsidP="001551D6">
      <w:pPr>
        <w:pStyle w:val="ListParagraph"/>
        <w:ind w:left="1080"/>
        <w:rPr>
          <w:rFonts w:cs="Arial"/>
          <w:sz w:val="20"/>
          <w:szCs w:val="20"/>
        </w:rPr>
      </w:pPr>
    </w:p>
    <w:p w:rsidR="001551D6" w:rsidRPr="00795BA9" w:rsidRDefault="001551D6" w:rsidP="001551D6">
      <w:pPr>
        <w:pStyle w:val="ListParagraph"/>
        <w:numPr>
          <w:ilvl w:val="0"/>
          <w:numId w:val="28"/>
        </w:numPr>
        <w:rPr>
          <w:rFonts w:cs="Arial"/>
          <w:b/>
          <w:sz w:val="20"/>
          <w:szCs w:val="20"/>
        </w:rPr>
      </w:pPr>
      <w:r w:rsidRPr="00795BA9">
        <w:rPr>
          <w:rFonts w:cs="Arial"/>
          <w:b/>
          <w:sz w:val="20"/>
          <w:szCs w:val="20"/>
        </w:rPr>
        <w:t>Institute of Nuclear Power Operators [IMPO]:</w:t>
      </w:r>
    </w:p>
    <w:p w:rsidR="001551D6" w:rsidRPr="00795BA9" w:rsidRDefault="001551D6" w:rsidP="001551D6">
      <w:pPr>
        <w:pStyle w:val="ListParagraph"/>
        <w:numPr>
          <w:ilvl w:val="1"/>
          <w:numId w:val="28"/>
        </w:numPr>
        <w:rPr>
          <w:rFonts w:cs="Arial"/>
          <w:sz w:val="20"/>
          <w:szCs w:val="20"/>
        </w:rPr>
      </w:pPr>
      <w:r w:rsidRPr="00795BA9">
        <w:rPr>
          <w:rFonts w:cs="Arial"/>
          <w:sz w:val="20"/>
          <w:szCs w:val="20"/>
        </w:rPr>
        <w:t>AP-913, Equipment Reliability Process Description + other IMPO related standards</w:t>
      </w:r>
    </w:p>
    <w:p w:rsidR="001551D6" w:rsidRPr="00795BA9" w:rsidRDefault="000B4246" w:rsidP="001551D6">
      <w:pPr>
        <w:pStyle w:val="ListParagraph"/>
        <w:numPr>
          <w:ilvl w:val="1"/>
          <w:numId w:val="28"/>
        </w:numPr>
        <w:rPr>
          <w:rFonts w:cs="Arial"/>
          <w:sz w:val="20"/>
          <w:szCs w:val="20"/>
        </w:rPr>
      </w:pPr>
      <w:hyperlink r:id="rId14" w:history="1">
        <w:r w:rsidR="001551D6" w:rsidRPr="00795BA9">
          <w:rPr>
            <w:rStyle w:val="Hyperlink"/>
            <w:rFonts w:cs="Arial"/>
            <w:sz w:val="20"/>
            <w:szCs w:val="20"/>
          </w:rPr>
          <w:t>http://www.inpo.info/</w:t>
        </w:r>
      </w:hyperlink>
      <w:r w:rsidR="001551D6" w:rsidRPr="00795BA9">
        <w:rPr>
          <w:rFonts w:cs="Arial"/>
          <w:sz w:val="20"/>
          <w:szCs w:val="20"/>
        </w:rPr>
        <w:t xml:space="preserve"> </w:t>
      </w:r>
    </w:p>
    <w:p w:rsidR="001551D6" w:rsidRPr="00795BA9" w:rsidRDefault="001551D6" w:rsidP="001551D6">
      <w:pPr>
        <w:pStyle w:val="ListParagraph"/>
        <w:ind w:left="1080"/>
        <w:rPr>
          <w:rFonts w:cs="Arial"/>
          <w:sz w:val="20"/>
          <w:szCs w:val="20"/>
        </w:rPr>
      </w:pPr>
    </w:p>
    <w:p w:rsidR="001551D6" w:rsidRPr="00795BA9" w:rsidRDefault="001551D6" w:rsidP="001551D6">
      <w:pPr>
        <w:pStyle w:val="ListParagraph"/>
        <w:numPr>
          <w:ilvl w:val="0"/>
          <w:numId w:val="28"/>
        </w:numPr>
        <w:rPr>
          <w:rFonts w:cs="Arial"/>
          <w:b/>
          <w:sz w:val="20"/>
          <w:szCs w:val="20"/>
        </w:rPr>
      </w:pPr>
      <w:r w:rsidRPr="00795BA9">
        <w:rPr>
          <w:rFonts w:cs="Arial"/>
          <w:b/>
          <w:sz w:val="20"/>
          <w:szCs w:val="20"/>
        </w:rPr>
        <w:t>Nuclear Energy Institute:</w:t>
      </w:r>
    </w:p>
    <w:p w:rsidR="001551D6" w:rsidRPr="00795BA9" w:rsidRDefault="001551D6" w:rsidP="001551D6">
      <w:pPr>
        <w:pStyle w:val="ListParagraph"/>
        <w:numPr>
          <w:ilvl w:val="1"/>
          <w:numId w:val="28"/>
        </w:numPr>
        <w:rPr>
          <w:rFonts w:cs="Arial"/>
          <w:sz w:val="20"/>
          <w:szCs w:val="20"/>
        </w:rPr>
      </w:pPr>
      <w:r w:rsidRPr="00795BA9">
        <w:rPr>
          <w:rFonts w:cs="Arial"/>
          <w:sz w:val="20"/>
          <w:szCs w:val="20"/>
        </w:rPr>
        <w:t>SS002 Nuclear Asset Management Process Description and Guidelines [NEI AP-940] (Similarities to PAS 55)</w:t>
      </w:r>
    </w:p>
    <w:p w:rsidR="001551D6" w:rsidRPr="00795BA9" w:rsidRDefault="000B4246" w:rsidP="001551D6">
      <w:pPr>
        <w:pStyle w:val="ListParagraph"/>
        <w:numPr>
          <w:ilvl w:val="1"/>
          <w:numId w:val="28"/>
        </w:numPr>
        <w:rPr>
          <w:rFonts w:cs="Arial"/>
          <w:sz w:val="20"/>
          <w:szCs w:val="20"/>
        </w:rPr>
      </w:pPr>
      <w:hyperlink r:id="rId15" w:history="1">
        <w:r w:rsidR="001551D6" w:rsidRPr="00795BA9">
          <w:rPr>
            <w:rStyle w:val="Hyperlink"/>
            <w:rFonts w:cs="Arial"/>
            <w:sz w:val="20"/>
            <w:szCs w:val="20"/>
          </w:rPr>
          <w:t>http://www.nei.org/</w:t>
        </w:r>
      </w:hyperlink>
      <w:r w:rsidR="001551D6" w:rsidRPr="00795BA9">
        <w:rPr>
          <w:rFonts w:cs="Arial"/>
          <w:sz w:val="20"/>
          <w:szCs w:val="20"/>
        </w:rPr>
        <w:t xml:space="preserve"> </w:t>
      </w:r>
    </w:p>
    <w:p w:rsidR="001551D6" w:rsidRPr="00795BA9" w:rsidRDefault="001551D6" w:rsidP="001551D6">
      <w:pPr>
        <w:pStyle w:val="ListParagraph"/>
        <w:ind w:left="1080"/>
        <w:rPr>
          <w:rFonts w:cs="Arial"/>
          <w:sz w:val="20"/>
          <w:szCs w:val="20"/>
        </w:rPr>
      </w:pPr>
    </w:p>
    <w:p w:rsidR="001551D6" w:rsidRPr="00795BA9" w:rsidRDefault="001551D6" w:rsidP="001551D6">
      <w:pPr>
        <w:pStyle w:val="ListParagraph"/>
        <w:numPr>
          <w:ilvl w:val="0"/>
          <w:numId w:val="28"/>
        </w:numPr>
        <w:rPr>
          <w:rFonts w:cs="Arial"/>
          <w:b/>
          <w:sz w:val="20"/>
          <w:szCs w:val="20"/>
        </w:rPr>
      </w:pPr>
      <w:r w:rsidRPr="00795BA9">
        <w:rPr>
          <w:rFonts w:cs="Arial"/>
          <w:b/>
          <w:sz w:val="20"/>
          <w:szCs w:val="20"/>
        </w:rPr>
        <w:t>The Petroleum Safety Authority Norway:</w:t>
      </w:r>
    </w:p>
    <w:p w:rsidR="001551D6" w:rsidRPr="00795BA9" w:rsidRDefault="001551D6" w:rsidP="001551D6">
      <w:pPr>
        <w:pStyle w:val="ListParagraph"/>
        <w:numPr>
          <w:ilvl w:val="1"/>
          <w:numId w:val="28"/>
        </w:numPr>
        <w:rPr>
          <w:rFonts w:cs="Arial"/>
          <w:sz w:val="20"/>
          <w:szCs w:val="20"/>
        </w:rPr>
      </w:pPr>
      <w:r w:rsidRPr="00795BA9">
        <w:rPr>
          <w:rFonts w:cs="Arial"/>
          <w:sz w:val="20"/>
          <w:szCs w:val="20"/>
        </w:rPr>
        <w:t>Condition Monitoring of passive systems, structures and components. CG1 Report 06.22</w:t>
      </w:r>
    </w:p>
    <w:p w:rsidR="001551D6" w:rsidRPr="00795BA9" w:rsidRDefault="001551D6" w:rsidP="001551D6">
      <w:pPr>
        <w:pStyle w:val="ListParagraph"/>
        <w:numPr>
          <w:ilvl w:val="1"/>
          <w:numId w:val="28"/>
        </w:numPr>
        <w:rPr>
          <w:rFonts w:cs="Arial"/>
          <w:sz w:val="20"/>
          <w:szCs w:val="20"/>
        </w:rPr>
      </w:pPr>
      <w:r w:rsidRPr="00795BA9">
        <w:rPr>
          <w:rFonts w:cs="Arial"/>
          <w:sz w:val="20"/>
          <w:szCs w:val="20"/>
        </w:rPr>
        <w:t>Ageing Management and Life Extension in the US Nuclear Power Industry, CGI Report 06.23</w:t>
      </w:r>
    </w:p>
    <w:p w:rsidR="001551D6" w:rsidRPr="00795BA9" w:rsidRDefault="000B4246" w:rsidP="001551D6">
      <w:pPr>
        <w:pStyle w:val="ListParagraph"/>
        <w:numPr>
          <w:ilvl w:val="1"/>
          <w:numId w:val="28"/>
        </w:numPr>
        <w:rPr>
          <w:rFonts w:cs="Arial"/>
          <w:sz w:val="20"/>
          <w:szCs w:val="20"/>
        </w:rPr>
      </w:pPr>
      <w:hyperlink r:id="rId16" w:history="1">
        <w:r w:rsidR="001551D6" w:rsidRPr="00795BA9">
          <w:rPr>
            <w:rStyle w:val="Hyperlink"/>
            <w:rFonts w:cs="Arial"/>
            <w:sz w:val="20"/>
            <w:szCs w:val="20"/>
          </w:rPr>
          <w:t>http://www.ptil.no/?lang=en_US</w:t>
        </w:r>
      </w:hyperlink>
      <w:r w:rsidR="001551D6" w:rsidRPr="00795BA9">
        <w:rPr>
          <w:rFonts w:cs="Arial"/>
          <w:sz w:val="20"/>
          <w:szCs w:val="20"/>
        </w:rPr>
        <w:t xml:space="preserve"> </w:t>
      </w:r>
    </w:p>
    <w:p w:rsidR="001551D6" w:rsidRPr="00795BA9" w:rsidRDefault="001551D6" w:rsidP="001551D6">
      <w:pPr>
        <w:pStyle w:val="ListParagraph"/>
        <w:ind w:left="1080"/>
        <w:rPr>
          <w:rFonts w:cs="Arial"/>
          <w:sz w:val="20"/>
          <w:szCs w:val="20"/>
        </w:rPr>
      </w:pPr>
    </w:p>
    <w:p w:rsidR="001551D6" w:rsidRPr="00795BA9" w:rsidRDefault="001551D6" w:rsidP="001551D6">
      <w:pPr>
        <w:pStyle w:val="ListParagraph"/>
        <w:numPr>
          <w:ilvl w:val="0"/>
          <w:numId w:val="28"/>
        </w:numPr>
        <w:rPr>
          <w:rFonts w:cs="Arial"/>
          <w:b/>
          <w:sz w:val="20"/>
          <w:szCs w:val="20"/>
        </w:rPr>
      </w:pPr>
      <w:r w:rsidRPr="00795BA9">
        <w:rPr>
          <w:rFonts w:cs="Arial"/>
          <w:b/>
          <w:sz w:val="20"/>
          <w:szCs w:val="20"/>
        </w:rPr>
        <w:t>Nuclear Energy Agency [NEA]</w:t>
      </w:r>
      <w:r>
        <w:rPr>
          <w:rFonts w:cs="Arial"/>
          <w:b/>
          <w:sz w:val="20"/>
          <w:szCs w:val="20"/>
        </w:rPr>
        <w:t>:</w:t>
      </w:r>
    </w:p>
    <w:p w:rsidR="001551D6" w:rsidRPr="00795BA9" w:rsidRDefault="001551D6" w:rsidP="001551D6">
      <w:pPr>
        <w:numPr>
          <w:ilvl w:val="1"/>
          <w:numId w:val="28"/>
        </w:numPr>
        <w:autoSpaceDE w:val="0"/>
        <w:autoSpaceDN w:val="0"/>
        <w:adjustRightInd w:val="0"/>
        <w:rPr>
          <w:rFonts w:cs="Arial"/>
          <w:sz w:val="20"/>
          <w:szCs w:val="20"/>
          <w:lang w:eastAsia="en-GB"/>
        </w:rPr>
      </w:pPr>
      <w:r w:rsidRPr="00795BA9">
        <w:rPr>
          <w:rFonts w:cs="Arial"/>
          <w:sz w:val="20"/>
          <w:szCs w:val="20"/>
          <w:lang w:eastAsia="en-GB"/>
        </w:rPr>
        <w:t>CSNI Technical Opinion Papers No. 15, Ageing Management of Nuclear Fuel Cycle Facilities Nuclear Safety ISBN 978-92-64-99181-1, NEA/CSNI/R(2012)7</w:t>
      </w:r>
    </w:p>
    <w:p w:rsidR="001551D6" w:rsidRDefault="000B4246" w:rsidP="001551D6">
      <w:pPr>
        <w:pStyle w:val="ListParagraph"/>
        <w:numPr>
          <w:ilvl w:val="1"/>
          <w:numId w:val="28"/>
        </w:numPr>
        <w:rPr>
          <w:rFonts w:cs="Arial"/>
          <w:sz w:val="20"/>
          <w:szCs w:val="20"/>
        </w:rPr>
      </w:pPr>
      <w:hyperlink r:id="rId17" w:history="1">
        <w:r w:rsidR="001551D6" w:rsidRPr="00795BA9">
          <w:rPr>
            <w:rStyle w:val="Hyperlink"/>
            <w:rFonts w:cs="Arial"/>
            <w:sz w:val="20"/>
            <w:szCs w:val="20"/>
          </w:rPr>
          <w:t>http://www.oecd-nea.org/</w:t>
        </w:r>
      </w:hyperlink>
      <w:r w:rsidR="001551D6" w:rsidRPr="00795BA9">
        <w:rPr>
          <w:rFonts w:cs="Arial"/>
          <w:sz w:val="20"/>
          <w:szCs w:val="20"/>
        </w:rPr>
        <w:t xml:space="preserve"> </w:t>
      </w:r>
    </w:p>
    <w:p w:rsidR="001551D6" w:rsidRPr="00C94034" w:rsidRDefault="001551D6" w:rsidP="001551D6">
      <w:pPr>
        <w:rPr>
          <w:rFonts w:cs="Arial"/>
          <w:b/>
          <w:sz w:val="20"/>
          <w:szCs w:val="20"/>
        </w:rPr>
      </w:pPr>
    </w:p>
    <w:p w:rsidR="001551D6" w:rsidRPr="00795BA9" w:rsidRDefault="001551D6" w:rsidP="001551D6">
      <w:pPr>
        <w:ind w:left="720" w:hanging="720"/>
        <w:jc w:val="both"/>
        <w:rPr>
          <w:rFonts w:cs="Arial"/>
          <w:sz w:val="20"/>
          <w:szCs w:val="20"/>
        </w:rPr>
      </w:pPr>
    </w:p>
    <w:p w:rsidR="001551D6" w:rsidRDefault="001551D6" w:rsidP="001551D6">
      <w:pPr>
        <w:ind w:left="720" w:hanging="720"/>
        <w:jc w:val="both"/>
        <w:rPr>
          <w:rFonts w:cs="Arial"/>
          <w:sz w:val="20"/>
          <w:szCs w:val="20"/>
        </w:rPr>
      </w:pPr>
      <w:r>
        <w:rPr>
          <w:rFonts w:cs="Arial"/>
          <w:sz w:val="20"/>
          <w:szCs w:val="20"/>
        </w:rPr>
        <w:t xml:space="preserve">This is </w:t>
      </w:r>
      <w:r w:rsidRPr="00796636">
        <w:rPr>
          <w:rFonts w:cs="Arial"/>
          <w:b/>
          <w:sz w:val="20"/>
          <w:szCs w:val="20"/>
          <w:u w:val="single"/>
        </w:rPr>
        <w:t>NOT</w:t>
      </w:r>
      <w:r>
        <w:rPr>
          <w:rFonts w:cs="Arial"/>
          <w:sz w:val="20"/>
          <w:szCs w:val="20"/>
        </w:rPr>
        <w:t xml:space="preserve"> an exhaustive list.</w:t>
      </w:r>
    </w:p>
    <w:p w:rsidR="001551D6" w:rsidRDefault="001551D6" w:rsidP="001551D6">
      <w:pPr>
        <w:ind w:left="720" w:hanging="720"/>
        <w:jc w:val="both"/>
        <w:rPr>
          <w:rFonts w:cs="Arial"/>
          <w:sz w:val="20"/>
          <w:szCs w:val="20"/>
        </w:rPr>
      </w:pPr>
    </w:p>
    <w:p w:rsidR="001551D6" w:rsidRDefault="001551D6" w:rsidP="001551D6">
      <w:pPr>
        <w:ind w:left="720" w:hanging="720"/>
        <w:jc w:val="both"/>
        <w:rPr>
          <w:rFonts w:cs="Arial"/>
          <w:sz w:val="20"/>
          <w:szCs w:val="20"/>
        </w:rPr>
      </w:pPr>
    </w:p>
    <w:p w:rsidR="001551D6" w:rsidRDefault="001551D6" w:rsidP="001551D6">
      <w:pPr>
        <w:ind w:left="720" w:hanging="720"/>
        <w:jc w:val="both"/>
        <w:rPr>
          <w:rFonts w:cs="Arial"/>
          <w:sz w:val="20"/>
          <w:szCs w:val="20"/>
        </w:rPr>
      </w:pPr>
    </w:p>
    <w:p w:rsidR="001551D6" w:rsidRDefault="001551D6" w:rsidP="001551D6">
      <w:pPr>
        <w:ind w:left="720" w:hanging="720"/>
        <w:jc w:val="both"/>
        <w:rPr>
          <w:rFonts w:cs="Arial"/>
          <w:sz w:val="20"/>
          <w:szCs w:val="20"/>
        </w:rPr>
      </w:pPr>
    </w:p>
    <w:p w:rsidR="001551D6" w:rsidRDefault="001551D6" w:rsidP="001551D6">
      <w:pPr>
        <w:ind w:left="720" w:hanging="720"/>
        <w:jc w:val="both"/>
        <w:rPr>
          <w:rFonts w:cs="Arial"/>
          <w:sz w:val="20"/>
          <w:szCs w:val="20"/>
        </w:rPr>
      </w:pPr>
    </w:p>
    <w:p w:rsidR="001551D6" w:rsidRDefault="001551D6" w:rsidP="001551D6">
      <w:pPr>
        <w:ind w:left="720" w:hanging="720"/>
        <w:jc w:val="both"/>
        <w:rPr>
          <w:rFonts w:cs="Arial"/>
          <w:sz w:val="20"/>
          <w:szCs w:val="20"/>
        </w:rPr>
      </w:pPr>
    </w:p>
    <w:p w:rsidR="001551D6" w:rsidRDefault="001551D6" w:rsidP="001551D6">
      <w:pPr>
        <w:ind w:left="720" w:hanging="720"/>
        <w:jc w:val="both"/>
        <w:rPr>
          <w:rFonts w:cs="Arial"/>
          <w:sz w:val="20"/>
          <w:szCs w:val="20"/>
        </w:rPr>
      </w:pPr>
    </w:p>
    <w:p w:rsidR="001551D6" w:rsidRPr="00795BA9" w:rsidRDefault="001551D6" w:rsidP="001551D6">
      <w:pPr>
        <w:ind w:left="720" w:hanging="720"/>
        <w:jc w:val="both"/>
        <w:rPr>
          <w:rFonts w:cs="Arial"/>
          <w:sz w:val="20"/>
          <w:szCs w:val="20"/>
        </w:rPr>
      </w:pPr>
    </w:p>
    <w:p w:rsidR="001551D6" w:rsidRPr="00406D81" w:rsidRDefault="001551D6" w:rsidP="00E9478E">
      <w:pPr>
        <w:jc w:val="both"/>
      </w:pPr>
    </w:p>
    <w:sectPr w:rsidR="001551D6" w:rsidRPr="00406D81" w:rsidSect="00EA5EB4">
      <w:headerReference w:type="default" r:id="rId18"/>
      <w:footerReference w:type="default" r:id="rId19"/>
      <w:headerReference w:type="first" r:id="rId20"/>
      <w:footerReference w:type="first" r:id="rId21"/>
      <w:type w:val="continuous"/>
      <w:pgSz w:w="11906" w:h="16838" w:code="9"/>
      <w:pgMar w:top="1134" w:right="1134" w:bottom="1134" w:left="1588" w:header="431" w:footer="56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074">
      <wne:acd wne:acdName="acd7"/>
    </wne:keymap>
    <wne:keymap wne:kcmPrimary="0075">
      <wne:acd wne:acdName="acd1"/>
    </wne:keymap>
    <wne:keymap wne:kcmPrimary="0076">
      <wne:acd wne:acdName="acd2"/>
    </wne:keymap>
    <wne:keymap wne:kcmPrimary="0077">
      <wne:acd wne:acdName="acd3"/>
    </wne:keymap>
    <wne:keymap wne:kcmPrimary="0078">
      <wne:acd wne:acdName="acd4"/>
    </wne:keymap>
    <wne:keymap wne:kcmPrimary="0079">
      <wne:acd wne:acdName="acd5"/>
    </wne:keymap>
    <wne:keymap wne:kcmPrimary="007A">
      <wne:acd wne:acdName="acd6"/>
    </wne:keymap>
  </wne:keymaps>
  <wne:toolbars>
    <wne:acdManifest>
      <wne:acdEntry wne:acdName="acd0"/>
      <wne:acdEntry wne:acdName="acd1"/>
      <wne:acdEntry wne:acdName="acd2"/>
      <wne:acdEntry wne:acdName="acd3"/>
      <wne:acdEntry wne:acdName="acd4"/>
      <wne:acdEntry wne:acdName="acd5"/>
      <wne:acdEntry wne:acdName="acd6"/>
      <wne:acdEntry wne:acdName="acd7"/>
    </wne:acdManifest>
  </wne:toolbars>
  <wne:acds>
    <wne:acd wne:acdName="acd0" wne:fciIndexBasedOn="0065"/>
    <wne:acd wne:argValue="AgBUAFMAIABIAGUAYQBkAGkAbgBnACAATgB1AG0AYgBlAHIAZQBkACAAMQAuADEA" wne:acdName="acd1" wne:fciIndexBasedOn="0065"/>
    <wne:acd wne:argValue="AgBUAFMAIABIAGUAYQBkAGkAbgBnACAATgB1AG0AYgBlAHIAZQBkACAAMQAuADEALgAxAA==" wne:acdName="acd2" wne:fciIndexBasedOn="0065"/>
    <wne:acd wne:argValue="AgBUAFMAIABIAGUAYQBkAGkAbgBnACAATgB1AG0AYgBlAHIAZQBkACAAMQAuADEALgAxAC4AMQA=" wne:acdName="acd3" wne:fciIndexBasedOn="0065"/>
    <wne:acd wne:argValue="AgBUAFMAIABOAHUAbQBiAGUAcgBlAGQAIABQAGEAcgBhAGcAcgBhAHAAaAAgADEALgAxAA==" wne:acdName="acd4" wne:fciIndexBasedOn="0065"/>
    <wne:acd wne:argValue="AgBUAFMAIABCAHUAbABsAGUAdAAgADEAIABTAHEAdQBhAHIAZQA=" wne:acdName="acd5" wne:fciIndexBasedOn="0065"/>
    <wne:acd wne:argValue="AgBUAFMAIABCAHUAbABsAGUAdAAgADIAIABDAGkAcgBjAGwAZQA=" wne:acdName="acd6" wne:fciIndexBasedOn="0065"/>
    <wne:acd wne:argValue="AgBUAFMAIABIAGUAYQBkAGkAbgBnACAATgB1AG0AYgBlAHIAZQBkACAAMQAuAA==" wne:acdName="acd7"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0C9B" w:rsidRDefault="003C0C9B">
      <w:r>
        <w:separator/>
      </w:r>
    </w:p>
  </w:endnote>
  <w:endnote w:type="continuationSeparator" w:id="0">
    <w:p w:rsidR="003C0C9B" w:rsidRDefault="003C0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DA2" w:rsidRDefault="00D75DA2" w:rsidP="00BC5FC8">
    <w:pPr>
      <w:pStyle w:val="Header"/>
      <w:jc w:val="center"/>
      <w:rPr>
        <w:b/>
        <w:color w:val="006D68"/>
        <w:sz w:val="14"/>
        <w:szCs w:val="14"/>
      </w:rPr>
    </w:pPr>
  </w:p>
  <w:p w:rsidR="00D75DA2" w:rsidRDefault="00D75DA2" w:rsidP="00BC5FC8">
    <w:pPr>
      <w:pStyle w:val="Footer"/>
      <w:tabs>
        <w:tab w:val="clear" w:pos="4153"/>
        <w:tab w:val="clear" w:pos="8306"/>
        <w:tab w:val="right" w:pos="9214"/>
      </w:tabs>
      <w:jc w:val="center"/>
      <w:rPr>
        <w:color w:val="006D68"/>
        <w:sz w:val="14"/>
        <w:szCs w:val="14"/>
      </w:rPr>
    </w:pPr>
  </w:p>
  <w:p w:rsidR="00D75DA2" w:rsidRPr="00487A22" w:rsidRDefault="00D75DA2" w:rsidP="00284026">
    <w:pPr>
      <w:pStyle w:val="Footer"/>
      <w:tabs>
        <w:tab w:val="clear" w:pos="4153"/>
        <w:tab w:val="clear" w:pos="8306"/>
        <w:tab w:val="right" w:pos="9214"/>
      </w:tabs>
      <w:jc w:val="center"/>
      <w:rPr>
        <w:b/>
        <w:color w:val="006D68"/>
        <w:sz w:val="14"/>
        <w:szCs w:val="14"/>
      </w:rPr>
    </w:pPr>
    <w:r w:rsidRPr="00487A22">
      <w:rPr>
        <w:b/>
        <w:color w:val="006D68"/>
        <w:sz w:val="14"/>
        <w:szCs w:val="14"/>
      </w:rPr>
      <w:t xml:space="preserve">Page </w:t>
    </w:r>
    <w:r w:rsidRPr="00487A22">
      <w:rPr>
        <w:b/>
        <w:color w:val="006D68"/>
        <w:sz w:val="14"/>
        <w:szCs w:val="14"/>
      </w:rPr>
      <w:fldChar w:fldCharType="begin"/>
    </w:r>
    <w:r w:rsidRPr="00487A22">
      <w:rPr>
        <w:b/>
        <w:color w:val="006D68"/>
        <w:sz w:val="14"/>
        <w:szCs w:val="14"/>
      </w:rPr>
      <w:instrText xml:space="preserve"> PAGE </w:instrText>
    </w:r>
    <w:r w:rsidRPr="00487A22">
      <w:rPr>
        <w:b/>
        <w:color w:val="006D68"/>
        <w:sz w:val="14"/>
        <w:szCs w:val="14"/>
      </w:rPr>
      <w:fldChar w:fldCharType="separate"/>
    </w:r>
    <w:r w:rsidR="000B4246">
      <w:rPr>
        <w:b/>
        <w:noProof/>
        <w:color w:val="006D68"/>
        <w:sz w:val="14"/>
        <w:szCs w:val="14"/>
      </w:rPr>
      <w:t>7</w:t>
    </w:r>
    <w:r w:rsidRPr="00487A22">
      <w:rPr>
        <w:b/>
        <w:color w:val="006D68"/>
        <w:sz w:val="14"/>
        <w:szCs w:val="14"/>
      </w:rPr>
      <w:fldChar w:fldCharType="end"/>
    </w:r>
    <w:r w:rsidRPr="00487A22">
      <w:rPr>
        <w:b/>
        <w:color w:val="006D68"/>
        <w:sz w:val="14"/>
        <w:szCs w:val="14"/>
      </w:rPr>
      <w:t xml:space="preserve"> of </w:t>
    </w:r>
    <w:r w:rsidRPr="00487A22">
      <w:rPr>
        <w:b/>
        <w:color w:val="006D68"/>
        <w:sz w:val="14"/>
        <w:szCs w:val="14"/>
      </w:rPr>
      <w:fldChar w:fldCharType="begin"/>
    </w:r>
    <w:r w:rsidRPr="00487A22">
      <w:rPr>
        <w:b/>
        <w:color w:val="006D68"/>
        <w:sz w:val="14"/>
        <w:szCs w:val="14"/>
      </w:rPr>
      <w:instrText xml:space="preserve"> NUMPAGES </w:instrText>
    </w:r>
    <w:r w:rsidRPr="00487A22">
      <w:rPr>
        <w:b/>
        <w:color w:val="006D68"/>
        <w:sz w:val="14"/>
        <w:szCs w:val="14"/>
      </w:rPr>
      <w:fldChar w:fldCharType="separate"/>
    </w:r>
    <w:r w:rsidR="000B4246">
      <w:rPr>
        <w:b/>
        <w:noProof/>
        <w:color w:val="006D68"/>
        <w:sz w:val="14"/>
        <w:szCs w:val="14"/>
      </w:rPr>
      <w:t>7</w:t>
    </w:r>
    <w:r w:rsidRPr="00487A22">
      <w:rPr>
        <w:b/>
        <w:color w:val="006D68"/>
        <w:sz w:val="14"/>
        <w:szCs w:val="1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DA2" w:rsidRPr="00B56CCE" w:rsidRDefault="00D75DA2" w:rsidP="00943D87">
    <w:pPr>
      <w:pStyle w:val="Footer"/>
      <w:tabs>
        <w:tab w:val="clear" w:pos="4153"/>
        <w:tab w:val="clear" w:pos="8306"/>
        <w:tab w:val="right" w:pos="9214"/>
      </w:tabs>
      <w:jc w:val="center"/>
      <w:rPr>
        <w:b/>
        <w:color w:val="006D68"/>
        <w:sz w:val="14"/>
        <w:szCs w:val="14"/>
      </w:rPr>
    </w:pPr>
    <w:r w:rsidRPr="00B56CCE">
      <w:rPr>
        <w:b/>
        <w:color w:val="006D68"/>
        <w:sz w:val="14"/>
        <w:szCs w:val="14"/>
      </w:rPr>
      <w:t xml:space="preserve">Page </w:t>
    </w:r>
    <w:r w:rsidRPr="00B56CCE">
      <w:rPr>
        <w:b/>
        <w:color w:val="006D68"/>
        <w:sz w:val="14"/>
        <w:szCs w:val="14"/>
      </w:rPr>
      <w:fldChar w:fldCharType="begin"/>
    </w:r>
    <w:r w:rsidRPr="00B56CCE">
      <w:rPr>
        <w:b/>
        <w:color w:val="006D68"/>
        <w:sz w:val="14"/>
        <w:szCs w:val="14"/>
      </w:rPr>
      <w:instrText xml:space="preserve"> PAGE </w:instrText>
    </w:r>
    <w:r w:rsidRPr="00B56CCE">
      <w:rPr>
        <w:b/>
        <w:color w:val="006D68"/>
        <w:sz w:val="14"/>
        <w:szCs w:val="14"/>
      </w:rPr>
      <w:fldChar w:fldCharType="separate"/>
    </w:r>
    <w:r w:rsidR="000B4246">
      <w:rPr>
        <w:b/>
        <w:noProof/>
        <w:color w:val="006D68"/>
        <w:sz w:val="14"/>
        <w:szCs w:val="14"/>
      </w:rPr>
      <w:t>1</w:t>
    </w:r>
    <w:r w:rsidRPr="00B56CCE">
      <w:rPr>
        <w:b/>
        <w:color w:val="006D68"/>
        <w:sz w:val="14"/>
        <w:szCs w:val="14"/>
      </w:rPr>
      <w:fldChar w:fldCharType="end"/>
    </w:r>
    <w:r w:rsidRPr="00B56CCE">
      <w:rPr>
        <w:b/>
        <w:color w:val="006D68"/>
        <w:sz w:val="14"/>
        <w:szCs w:val="14"/>
      </w:rPr>
      <w:t xml:space="preserve"> of </w:t>
    </w:r>
    <w:r w:rsidRPr="00B56CCE">
      <w:rPr>
        <w:b/>
        <w:color w:val="006D68"/>
        <w:sz w:val="14"/>
        <w:szCs w:val="14"/>
      </w:rPr>
      <w:fldChar w:fldCharType="begin"/>
    </w:r>
    <w:r w:rsidRPr="00B56CCE">
      <w:rPr>
        <w:b/>
        <w:color w:val="006D68"/>
        <w:sz w:val="14"/>
        <w:szCs w:val="14"/>
      </w:rPr>
      <w:instrText xml:space="preserve"> NUMPAGES </w:instrText>
    </w:r>
    <w:r w:rsidRPr="00B56CCE">
      <w:rPr>
        <w:b/>
        <w:color w:val="006D68"/>
        <w:sz w:val="14"/>
        <w:szCs w:val="14"/>
      </w:rPr>
      <w:fldChar w:fldCharType="separate"/>
    </w:r>
    <w:r w:rsidR="000B4246">
      <w:rPr>
        <w:b/>
        <w:noProof/>
        <w:color w:val="006D68"/>
        <w:sz w:val="14"/>
        <w:szCs w:val="14"/>
      </w:rPr>
      <w:t>7</w:t>
    </w:r>
    <w:r w:rsidRPr="00B56CCE">
      <w:rPr>
        <w:b/>
        <w:color w:val="006D68"/>
        <w:sz w:val="14"/>
        <w:szCs w:val="1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0C9B" w:rsidRDefault="003C0C9B">
      <w:r>
        <w:separator/>
      </w:r>
    </w:p>
  </w:footnote>
  <w:footnote w:type="continuationSeparator" w:id="0">
    <w:p w:rsidR="003C0C9B" w:rsidRDefault="003C0C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DA2" w:rsidRDefault="00D75DA2">
    <w:pPr>
      <w:pStyle w:val="Header"/>
      <w:rPr>
        <w:b/>
        <w:color w:val="006D68"/>
        <w:sz w:val="14"/>
        <w:szCs w:val="14"/>
      </w:rPr>
    </w:pPr>
  </w:p>
  <w:p w:rsidR="00D75DA2" w:rsidRDefault="00D75DA2" w:rsidP="007D545C">
    <w:pPr>
      <w:pStyle w:val="Header"/>
      <w:jc w:val="center"/>
      <w:rPr>
        <w:b/>
        <w:color w:val="006D68"/>
        <w:sz w:val="14"/>
        <w:szCs w:val="1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DA2" w:rsidRDefault="00943D87" w:rsidP="00CA3B14">
    <w:pPr>
      <w:pStyle w:val="Header"/>
      <w:rPr>
        <w:b/>
        <w:color w:val="006D68"/>
        <w:sz w:val="14"/>
        <w:szCs w:val="14"/>
      </w:rPr>
    </w:pPr>
    <w:r>
      <w:rPr>
        <w:noProof/>
        <w:lang w:eastAsia="en-GB"/>
      </w:rPr>
      <w:drawing>
        <wp:anchor distT="288290" distB="0" distL="288290" distR="114300" simplePos="0" relativeHeight="251658240" behindDoc="0" locked="0" layoutInCell="1" allowOverlap="0" wp14:anchorId="09988F45" wp14:editId="3CBD0F3A">
          <wp:simplePos x="0" y="0"/>
          <wp:positionH relativeFrom="page">
            <wp:posOffset>288925</wp:posOffset>
          </wp:positionH>
          <wp:positionV relativeFrom="page">
            <wp:posOffset>249555</wp:posOffset>
          </wp:positionV>
          <wp:extent cx="5681345" cy="617220"/>
          <wp:effectExtent l="0" t="0" r="0" b="0"/>
          <wp:wrapNone/>
          <wp:docPr id="5" name="Picture 5" descr="ONRlogoA4col_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NRlogoA4col_hi"/>
                  <pic:cNvPicPr>
                    <a:picLocks noChangeAspect="1" noChangeArrowheads="1"/>
                  </pic:cNvPicPr>
                </pic:nvPicPr>
                <pic:blipFill>
                  <a:blip r:embed="rId1">
                    <a:extLst>
                      <a:ext uri="{28A0092B-C50C-407E-A947-70E740481C1C}">
                        <a14:useLocalDpi xmlns:a14="http://schemas.microsoft.com/office/drawing/2010/main" val="0"/>
                      </a:ext>
                    </a:extLst>
                  </a:blip>
                  <a:srcRect l="7547" t="22310" r="-100261" b="23965"/>
                  <a:stretch>
                    <a:fillRect/>
                  </a:stretch>
                </pic:blipFill>
                <pic:spPr bwMode="auto">
                  <a:xfrm>
                    <a:off x="0" y="0"/>
                    <a:ext cx="5681345" cy="617220"/>
                  </a:xfrm>
                  <a:prstGeom prst="rect">
                    <a:avLst/>
                  </a:prstGeom>
                  <a:noFill/>
                </pic:spPr>
              </pic:pic>
            </a:graphicData>
          </a:graphic>
          <wp14:sizeRelH relativeFrom="page">
            <wp14:pctWidth>0</wp14:pctWidth>
          </wp14:sizeRelH>
          <wp14:sizeRelV relativeFrom="page">
            <wp14:pctHeight>0</wp14:pctHeight>
          </wp14:sizeRelV>
        </wp:anchor>
      </w:drawing>
    </w:r>
    <w:r w:rsidR="00D75DA2" w:rsidRPr="00CA3B14">
      <w:rPr>
        <w:b/>
        <w:color w:val="006D68"/>
        <w:sz w:val="14"/>
        <w:szCs w:val="14"/>
      </w:rPr>
      <w:t xml:space="preserve"> </w:t>
    </w:r>
    <w:r w:rsidR="00D75DA2" w:rsidRPr="00B56CCE">
      <w:rPr>
        <w:b/>
        <w:color w:val="006D68"/>
        <w:sz w:val="14"/>
        <w:szCs w:val="14"/>
      </w:rPr>
      <w:t xml:space="preserve">Title of </w:t>
    </w:r>
    <w:r w:rsidR="00D75DA2">
      <w:rPr>
        <w:b/>
        <w:color w:val="006D68"/>
        <w:sz w:val="14"/>
        <w:szCs w:val="14"/>
      </w:rPr>
      <w:t>document</w:t>
    </w:r>
  </w:p>
  <w:p w:rsidR="00A25EB0" w:rsidRPr="00943D87" w:rsidRDefault="00A25EB0" w:rsidP="00A25EB0">
    <w:pPr>
      <w:pStyle w:val="Header"/>
      <w:jc w:val="right"/>
      <w:rPr>
        <w:b/>
        <w:sz w:val="16"/>
        <w:szCs w:val="16"/>
      </w:rPr>
    </w:pPr>
    <w:r w:rsidRPr="00943D87">
      <w:rPr>
        <w:b/>
        <w:sz w:val="16"/>
        <w:szCs w:val="16"/>
      </w:rPr>
      <w:t>ONR/T</w:t>
    </w:r>
    <w:r w:rsidR="00943D87" w:rsidRPr="00943D87">
      <w:rPr>
        <w:b/>
        <w:sz w:val="16"/>
        <w:szCs w:val="16"/>
      </w:rPr>
      <w:t>3283</w:t>
    </w:r>
  </w:p>
  <w:p w:rsidR="00A25EB0" w:rsidRPr="00943D87" w:rsidRDefault="00A25EB0" w:rsidP="00A25EB0">
    <w:pPr>
      <w:pStyle w:val="Header"/>
      <w:jc w:val="right"/>
      <w:rPr>
        <w:b/>
        <w:sz w:val="16"/>
        <w:szCs w:val="16"/>
      </w:rPr>
    </w:pPr>
    <w:r w:rsidRPr="00943D87">
      <w:rPr>
        <w:b/>
        <w:sz w:val="16"/>
        <w:szCs w:val="16"/>
      </w:rPr>
      <w:t xml:space="preserve">SCHEDULE A </w:t>
    </w:r>
  </w:p>
  <w:p w:rsidR="00D75DA2" w:rsidRDefault="00D75DA2" w:rsidP="00CA3B14">
    <w:pPr>
      <w:pStyle w:val="Header"/>
      <w:rPr>
        <w:b/>
        <w:color w:val="006D68"/>
        <w:sz w:val="14"/>
        <w:szCs w:val="14"/>
      </w:rPr>
    </w:pPr>
  </w:p>
  <w:p w:rsidR="00D75DA2" w:rsidRDefault="00D75DA2" w:rsidP="00CA3B14">
    <w:pPr>
      <w:pStyle w:val="Header"/>
      <w:rPr>
        <w:b/>
        <w:color w:val="006D68"/>
        <w:sz w:val="14"/>
        <w:szCs w:val="14"/>
      </w:rPr>
    </w:pPr>
  </w:p>
  <w:p w:rsidR="00D75DA2" w:rsidRDefault="00D75DA2" w:rsidP="00CA3B14">
    <w:pPr>
      <w:pStyle w:val="Header"/>
      <w:rPr>
        <w:b/>
        <w:color w:val="006D68"/>
        <w:sz w:val="14"/>
        <w:szCs w:val="14"/>
      </w:rPr>
    </w:pPr>
  </w:p>
  <w:p w:rsidR="00D75DA2" w:rsidRDefault="00D75DA2" w:rsidP="00CA3B14">
    <w:pPr>
      <w:pStyle w:val="Header"/>
      <w:rPr>
        <w:b/>
        <w:color w:val="006D68"/>
        <w:sz w:val="14"/>
        <w:szCs w:val="14"/>
      </w:rPr>
    </w:pPr>
  </w:p>
  <w:p w:rsidR="00D75DA2" w:rsidRDefault="00D75DA2" w:rsidP="00CA3B14">
    <w:pPr>
      <w:pStyle w:val="Header"/>
      <w:rPr>
        <w:b/>
        <w:color w:val="006D68"/>
        <w:sz w:val="14"/>
        <w:szCs w:val="14"/>
      </w:rPr>
    </w:pPr>
  </w:p>
  <w:p w:rsidR="00D75DA2" w:rsidRDefault="00D75DA2" w:rsidP="00CA3B14">
    <w:pPr>
      <w:pStyle w:val="Header"/>
      <w:rPr>
        <w:b/>
        <w:color w:val="006D68"/>
        <w:sz w:val="14"/>
        <w:szCs w:val="14"/>
      </w:rPr>
    </w:pPr>
  </w:p>
  <w:p w:rsidR="00D75DA2" w:rsidRPr="00D55197" w:rsidRDefault="00D75DA2" w:rsidP="00CA3B14">
    <w:pPr>
      <w:pStyle w:val="Header"/>
      <w:jc w:val="center"/>
      <w:rPr>
        <w:b/>
        <w:color w:val="006D68"/>
        <w:sz w:val="14"/>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4A5"/>
    <w:multiLevelType w:val="hybridMultilevel"/>
    <w:tmpl w:val="ECCA9B40"/>
    <w:lvl w:ilvl="0" w:tplc="DD7C743A">
      <w:start w:val="1"/>
      <w:numFmt w:val="lowerLetter"/>
      <w:lvlText w:val="%1)"/>
      <w:lvlJc w:val="left"/>
      <w:pPr>
        <w:tabs>
          <w:tab w:val="num" w:pos="1152"/>
        </w:tabs>
        <w:ind w:left="1152" w:hanging="432"/>
      </w:pPr>
      <w:rPr>
        <w:rFonts w:ascii="Arial" w:hAnsi="Arial" w:hint="default"/>
        <w:sz w:val="24"/>
      </w:rPr>
    </w:lvl>
    <w:lvl w:ilvl="1" w:tplc="559489D2" w:tentative="1">
      <w:start w:val="1"/>
      <w:numFmt w:val="lowerLetter"/>
      <w:lvlText w:val="%2."/>
      <w:lvlJc w:val="left"/>
      <w:pPr>
        <w:tabs>
          <w:tab w:val="num" w:pos="1152"/>
        </w:tabs>
        <w:ind w:left="1152" w:hanging="360"/>
      </w:pPr>
    </w:lvl>
    <w:lvl w:ilvl="2" w:tplc="E144676C" w:tentative="1">
      <w:start w:val="1"/>
      <w:numFmt w:val="lowerRoman"/>
      <w:lvlText w:val="%3."/>
      <w:lvlJc w:val="right"/>
      <w:pPr>
        <w:tabs>
          <w:tab w:val="num" w:pos="1872"/>
        </w:tabs>
        <w:ind w:left="1872" w:hanging="180"/>
      </w:pPr>
    </w:lvl>
    <w:lvl w:ilvl="3" w:tplc="2BE8A7E2" w:tentative="1">
      <w:start w:val="1"/>
      <w:numFmt w:val="decimal"/>
      <w:lvlText w:val="%4."/>
      <w:lvlJc w:val="left"/>
      <w:pPr>
        <w:tabs>
          <w:tab w:val="num" w:pos="2592"/>
        </w:tabs>
        <w:ind w:left="2592" w:hanging="360"/>
      </w:pPr>
    </w:lvl>
    <w:lvl w:ilvl="4" w:tplc="03E8242E" w:tentative="1">
      <w:start w:val="1"/>
      <w:numFmt w:val="lowerLetter"/>
      <w:lvlText w:val="%5."/>
      <w:lvlJc w:val="left"/>
      <w:pPr>
        <w:tabs>
          <w:tab w:val="num" w:pos="3312"/>
        </w:tabs>
        <w:ind w:left="3312" w:hanging="360"/>
      </w:pPr>
    </w:lvl>
    <w:lvl w:ilvl="5" w:tplc="58042C86" w:tentative="1">
      <w:start w:val="1"/>
      <w:numFmt w:val="lowerRoman"/>
      <w:lvlText w:val="%6."/>
      <w:lvlJc w:val="right"/>
      <w:pPr>
        <w:tabs>
          <w:tab w:val="num" w:pos="4032"/>
        </w:tabs>
        <w:ind w:left="4032" w:hanging="180"/>
      </w:pPr>
    </w:lvl>
    <w:lvl w:ilvl="6" w:tplc="95F42686" w:tentative="1">
      <w:start w:val="1"/>
      <w:numFmt w:val="decimal"/>
      <w:lvlText w:val="%7."/>
      <w:lvlJc w:val="left"/>
      <w:pPr>
        <w:tabs>
          <w:tab w:val="num" w:pos="4752"/>
        </w:tabs>
        <w:ind w:left="4752" w:hanging="360"/>
      </w:pPr>
    </w:lvl>
    <w:lvl w:ilvl="7" w:tplc="32CAC66C" w:tentative="1">
      <w:start w:val="1"/>
      <w:numFmt w:val="lowerLetter"/>
      <w:lvlText w:val="%8."/>
      <w:lvlJc w:val="left"/>
      <w:pPr>
        <w:tabs>
          <w:tab w:val="num" w:pos="5472"/>
        </w:tabs>
        <w:ind w:left="5472" w:hanging="360"/>
      </w:pPr>
    </w:lvl>
    <w:lvl w:ilvl="8" w:tplc="AC34CEE0" w:tentative="1">
      <w:start w:val="1"/>
      <w:numFmt w:val="lowerRoman"/>
      <w:lvlText w:val="%9."/>
      <w:lvlJc w:val="right"/>
      <w:pPr>
        <w:tabs>
          <w:tab w:val="num" w:pos="6192"/>
        </w:tabs>
        <w:ind w:left="6192" w:hanging="180"/>
      </w:pPr>
    </w:lvl>
  </w:abstractNum>
  <w:abstractNum w:abstractNumId="1">
    <w:nsid w:val="056E78D7"/>
    <w:multiLevelType w:val="multilevel"/>
    <w:tmpl w:val="F4BC67E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86A013E"/>
    <w:multiLevelType w:val="multilevel"/>
    <w:tmpl w:val="251E6DCE"/>
    <w:lvl w:ilvl="0">
      <w:start w:val="1"/>
      <w:numFmt w:val="bullet"/>
      <w:lvlText w:val=""/>
      <w:lvlJc w:val="left"/>
      <w:pPr>
        <w:tabs>
          <w:tab w:val="num" w:pos="-31680"/>
        </w:tabs>
        <w:ind w:left="720" w:hanging="72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D5F16A6"/>
    <w:multiLevelType w:val="hybridMultilevel"/>
    <w:tmpl w:val="14B02696"/>
    <w:lvl w:ilvl="0" w:tplc="08090001">
      <w:start w:val="1"/>
      <w:numFmt w:val="bullet"/>
      <w:lvlText w:val=""/>
      <w:lvlJc w:val="left"/>
      <w:pPr>
        <w:ind w:left="726" w:hanging="360"/>
      </w:pPr>
      <w:rPr>
        <w:rFonts w:ascii="Symbol" w:hAnsi="Symbol" w:hint="default"/>
      </w:rPr>
    </w:lvl>
    <w:lvl w:ilvl="1" w:tplc="08090003" w:tentative="1">
      <w:start w:val="1"/>
      <w:numFmt w:val="bullet"/>
      <w:lvlText w:val="o"/>
      <w:lvlJc w:val="left"/>
      <w:pPr>
        <w:ind w:left="1446" w:hanging="360"/>
      </w:pPr>
      <w:rPr>
        <w:rFonts w:ascii="Courier New" w:hAnsi="Courier New" w:cs="Courier New" w:hint="default"/>
      </w:rPr>
    </w:lvl>
    <w:lvl w:ilvl="2" w:tplc="08090005" w:tentative="1">
      <w:start w:val="1"/>
      <w:numFmt w:val="bullet"/>
      <w:lvlText w:val=""/>
      <w:lvlJc w:val="left"/>
      <w:pPr>
        <w:ind w:left="2166" w:hanging="360"/>
      </w:pPr>
      <w:rPr>
        <w:rFonts w:ascii="Wingdings" w:hAnsi="Wingdings" w:hint="default"/>
      </w:rPr>
    </w:lvl>
    <w:lvl w:ilvl="3" w:tplc="08090001" w:tentative="1">
      <w:start w:val="1"/>
      <w:numFmt w:val="bullet"/>
      <w:lvlText w:val=""/>
      <w:lvlJc w:val="left"/>
      <w:pPr>
        <w:ind w:left="2886" w:hanging="360"/>
      </w:pPr>
      <w:rPr>
        <w:rFonts w:ascii="Symbol" w:hAnsi="Symbol" w:hint="default"/>
      </w:rPr>
    </w:lvl>
    <w:lvl w:ilvl="4" w:tplc="08090003" w:tentative="1">
      <w:start w:val="1"/>
      <w:numFmt w:val="bullet"/>
      <w:lvlText w:val="o"/>
      <w:lvlJc w:val="left"/>
      <w:pPr>
        <w:ind w:left="3606" w:hanging="360"/>
      </w:pPr>
      <w:rPr>
        <w:rFonts w:ascii="Courier New" w:hAnsi="Courier New" w:cs="Courier New" w:hint="default"/>
      </w:rPr>
    </w:lvl>
    <w:lvl w:ilvl="5" w:tplc="08090005" w:tentative="1">
      <w:start w:val="1"/>
      <w:numFmt w:val="bullet"/>
      <w:lvlText w:val=""/>
      <w:lvlJc w:val="left"/>
      <w:pPr>
        <w:ind w:left="4326" w:hanging="360"/>
      </w:pPr>
      <w:rPr>
        <w:rFonts w:ascii="Wingdings" w:hAnsi="Wingdings" w:hint="default"/>
      </w:rPr>
    </w:lvl>
    <w:lvl w:ilvl="6" w:tplc="08090001" w:tentative="1">
      <w:start w:val="1"/>
      <w:numFmt w:val="bullet"/>
      <w:lvlText w:val=""/>
      <w:lvlJc w:val="left"/>
      <w:pPr>
        <w:ind w:left="5046" w:hanging="360"/>
      </w:pPr>
      <w:rPr>
        <w:rFonts w:ascii="Symbol" w:hAnsi="Symbol" w:hint="default"/>
      </w:rPr>
    </w:lvl>
    <w:lvl w:ilvl="7" w:tplc="08090003" w:tentative="1">
      <w:start w:val="1"/>
      <w:numFmt w:val="bullet"/>
      <w:lvlText w:val="o"/>
      <w:lvlJc w:val="left"/>
      <w:pPr>
        <w:ind w:left="5766" w:hanging="360"/>
      </w:pPr>
      <w:rPr>
        <w:rFonts w:ascii="Courier New" w:hAnsi="Courier New" w:cs="Courier New" w:hint="default"/>
      </w:rPr>
    </w:lvl>
    <w:lvl w:ilvl="8" w:tplc="08090005" w:tentative="1">
      <w:start w:val="1"/>
      <w:numFmt w:val="bullet"/>
      <w:lvlText w:val=""/>
      <w:lvlJc w:val="left"/>
      <w:pPr>
        <w:ind w:left="6486" w:hanging="360"/>
      </w:pPr>
      <w:rPr>
        <w:rFonts w:ascii="Wingdings" w:hAnsi="Wingdings" w:hint="default"/>
      </w:rPr>
    </w:lvl>
  </w:abstractNum>
  <w:abstractNum w:abstractNumId="4">
    <w:nsid w:val="17677240"/>
    <w:multiLevelType w:val="hybridMultilevel"/>
    <w:tmpl w:val="FE5CBBA8"/>
    <w:lvl w:ilvl="0" w:tplc="FFFFFFFF">
      <w:start w:val="1"/>
      <w:numFmt w:val="bullet"/>
      <w:lvlText w:val=""/>
      <w:lvlJc w:val="left"/>
      <w:pPr>
        <w:ind w:left="1080" w:hanging="360"/>
      </w:pPr>
      <w:rPr>
        <w:rFonts w:ascii="Wingdings" w:hAnsi="Wingdings" w:hint="default"/>
        <w:caps w:val="0"/>
        <w:strike w:val="0"/>
        <w:dstrike w:val="0"/>
        <w:vanish w:val="0"/>
        <w:color w:val="5F5F5F"/>
        <w:sz w:val="20"/>
        <w:vertAlign w:val="baseline"/>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nsid w:val="1C342905"/>
    <w:multiLevelType w:val="hybridMultilevel"/>
    <w:tmpl w:val="C37E6E16"/>
    <w:lvl w:ilvl="0" w:tplc="2306F78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DDE76D3"/>
    <w:multiLevelType w:val="hybridMultilevel"/>
    <w:tmpl w:val="88FA525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070"/>
        </w:tabs>
        <w:ind w:left="107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nsid w:val="227D510E"/>
    <w:multiLevelType w:val="multilevel"/>
    <w:tmpl w:val="F1D2CF3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31F22F6"/>
    <w:multiLevelType w:val="multilevel"/>
    <w:tmpl w:val="251E6DCE"/>
    <w:lvl w:ilvl="0">
      <w:start w:val="1"/>
      <w:numFmt w:val="bullet"/>
      <w:lvlText w:val=""/>
      <w:lvlJc w:val="left"/>
      <w:pPr>
        <w:tabs>
          <w:tab w:val="num" w:pos="-31680"/>
        </w:tabs>
        <w:ind w:left="720" w:hanging="72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24866945"/>
    <w:multiLevelType w:val="hybridMultilevel"/>
    <w:tmpl w:val="21B8E1B4"/>
    <w:lvl w:ilvl="0" w:tplc="9710B646">
      <w:start w:val="1"/>
      <w:numFmt w:val="bullet"/>
      <w:pStyle w:val="TSBullet2Circle"/>
      <w:lvlText w:val=""/>
      <w:lvlJc w:val="left"/>
      <w:pPr>
        <w:tabs>
          <w:tab w:val="num" w:pos="-31680"/>
        </w:tabs>
        <w:ind w:left="2160" w:hanging="720"/>
      </w:pPr>
      <w:rPr>
        <w:rFonts w:ascii="Symbol" w:hAnsi="Symbol" w:hint="default"/>
        <w:b w:val="0"/>
        <w:i w:val="0"/>
        <w:color w:val="333333"/>
        <w:sz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278D0730"/>
    <w:multiLevelType w:val="multilevel"/>
    <w:tmpl w:val="03CAB566"/>
    <w:lvl w:ilvl="0">
      <w:start w:val="1"/>
      <w:numFmt w:val="bullet"/>
      <w:lvlText w:val=""/>
      <w:lvlJc w:val="left"/>
      <w:pPr>
        <w:tabs>
          <w:tab w:val="num" w:pos="-31680"/>
        </w:tabs>
        <w:ind w:left="720" w:hanging="720"/>
      </w:pPr>
      <w:rPr>
        <w:rFonts w:ascii="Symbol" w:hAnsi="Symbol" w:hint="default"/>
        <w:b w:val="0"/>
        <w:i w:val="0"/>
        <w:sz w:val="24"/>
      </w:rPr>
    </w:lvl>
    <w:lvl w:ilvl="1">
      <w:start w:val="1"/>
      <w:numFmt w:val="bullet"/>
      <w:lvlText w:val="○"/>
      <w:lvlJc w:val="left"/>
      <w:pPr>
        <w:tabs>
          <w:tab w:val="num" w:pos="-31680"/>
        </w:tabs>
        <w:ind w:left="1440" w:hanging="720"/>
      </w:pPr>
      <w:rPr>
        <w:rFonts w:ascii="Arial" w:hAnsi="Arial"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24"/>
        </w:tabs>
        <w:ind w:left="1224" w:hanging="864"/>
      </w:pPr>
      <w:rPr>
        <w:rFonts w:hint="default"/>
      </w:rPr>
    </w:lvl>
    <w:lvl w:ilvl="4">
      <w:start w:val="1"/>
      <w:numFmt w:val="lowerLetter"/>
      <w:lvlRestart w:val="0"/>
      <w:lvlText w:val="%5)"/>
      <w:lvlJc w:val="left"/>
      <w:pPr>
        <w:tabs>
          <w:tab w:val="num" w:pos="1800"/>
        </w:tabs>
        <w:ind w:left="1800" w:hanging="720"/>
      </w:pPr>
      <w:rPr>
        <w:rFonts w:hint="default"/>
      </w:rPr>
    </w:lvl>
    <w:lvl w:ilvl="5">
      <w:start w:val="1"/>
      <w:numFmt w:val="lowerRoman"/>
      <w:lvlText w:val="%6)"/>
      <w:lvlJc w:val="left"/>
      <w:pPr>
        <w:tabs>
          <w:tab w:val="num" w:pos="2401"/>
        </w:tabs>
        <w:ind w:left="2401" w:hanging="601"/>
      </w:pPr>
      <w:rPr>
        <w:rFonts w:hint="default"/>
      </w:rPr>
    </w:lvl>
    <w:lvl w:ilvl="6">
      <w:start w:val="1"/>
      <w:numFmt w:val="bullet"/>
      <w:lvlText w:val=""/>
      <w:lvlJc w:val="left"/>
      <w:pPr>
        <w:tabs>
          <w:tab w:val="num" w:pos="360"/>
        </w:tabs>
        <w:ind w:left="1080" w:hanging="720"/>
      </w:pPr>
      <w:rPr>
        <w:rFonts w:ascii="Symbol" w:hAnsi="Symbol" w:hint="default"/>
        <w:sz w:val="24"/>
      </w:rPr>
    </w:lvl>
    <w:lvl w:ilvl="7">
      <w:start w:val="1"/>
      <w:numFmt w:val="bullet"/>
      <w:lvlText w:val=""/>
      <w:lvlJc w:val="left"/>
      <w:pPr>
        <w:tabs>
          <w:tab w:val="num" w:pos="1800"/>
        </w:tabs>
        <w:ind w:left="1800" w:hanging="720"/>
      </w:pPr>
      <w:rPr>
        <w:rFonts w:ascii="Symbol" w:hAnsi="Symbol" w:hint="default"/>
        <w:sz w:val="28"/>
      </w:rPr>
    </w:lvl>
    <w:lvl w:ilvl="8">
      <w:start w:val="1"/>
      <w:numFmt w:val="bullet"/>
      <w:lvlText w:val=""/>
      <w:lvlJc w:val="left"/>
      <w:pPr>
        <w:tabs>
          <w:tab w:val="num" w:pos="2401"/>
        </w:tabs>
        <w:ind w:left="2401" w:hanging="601"/>
      </w:pPr>
      <w:rPr>
        <w:rFonts w:ascii="Symbol" w:hAnsi="Symbol" w:hint="default"/>
        <w:sz w:val="28"/>
      </w:rPr>
    </w:lvl>
  </w:abstractNum>
  <w:abstractNum w:abstractNumId="11">
    <w:nsid w:val="29706A39"/>
    <w:multiLevelType w:val="multilevel"/>
    <w:tmpl w:val="3858D28C"/>
    <w:lvl w:ilvl="0">
      <w:start w:val="1"/>
      <w:numFmt w:val="decimal"/>
      <w:pStyle w:val="TSHeadingNumbered1"/>
      <w:lvlText w:val="%1"/>
      <w:lvlJc w:val="left"/>
      <w:pPr>
        <w:tabs>
          <w:tab w:val="num" w:pos="-31680"/>
        </w:tabs>
        <w:ind w:left="720" w:hanging="720"/>
      </w:pPr>
      <w:rPr>
        <w:rFonts w:hint="default"/>
        <w:sz w:val="22"/>
      </w:rPr>
    </w:lvl>
    <w:lvl w:ilvl="1">
      <w:start w:val="1"/>
      <w:numFmt w:val="decimal"/>
      <w:pStyle w:val="TSHeadingNumbered11"/>
      <w:lvlText w:val="%1.%2"/>
      <w:lvlJc w:val="left"/>
      <w:pPr>
        <w:tabs>
          <w:tab w:val="num" w:pos="-31680"/>
        </w:tabs>
        <w:ind w:left="720" w:hanging="720"/>
      </w:pPr>
      <w:rPr>
        <w:rFonts w:hint="default"/>
        <w:sz w:val="22"/>
      </w:rPr>
    </w:lvl>
    <w:lvl w:ilvl="2">
      <w:start w:val="1"/>
      <w:numFmt w:val="decimal"/>
      <w:pStyle w:val="TSHeadingNumbered111"/>
      <w:lvlText w:val="%1.%2.%3"/>
      <w:lvlJc w:val="left"/>
      <w:pPr>
        <w:tabs>
          <w:tab w:val="num" w:pos="-31680"/>
        </w:tabs>
        <w:ind w:left="720" w:hanging="720"/>
      </w:pPr>
      <w:rPr>
        <w:rFonts w:hint="default"/>
        <w:sz w:val="22"/>
      </w:rPr>
    </w:lvl>
    <w:lvl w:ilvl="3">
      <w:start w:val="1"/>
      <w:numFmt w:val="decimal"/>
      <w:pStyle w:val="TSHeadingNumbered1111"/>
      <w:lvlText w:val="%1.%2.%3.%4"/>
      <w:lvlJc w:val="left"/>
      <w:pPr>
        <w:tabs>
          <w:tab w:val="num" w:pos="-31680"/>
        </w:tabs>
        <w:ind w:left="720" w:hanging="720"/>
      </w:pPr>
      <w:rPr>
        <w:rFonts w:hint="default"/>
        <w:sz w:val="22"/>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nsid w:val="326E5F7C"/>
    <w:multiLevelType w:val="multilevel"/>
    <w:tmpl w:val="23BC3426"/>
    <w:lvl w:ilvl="0">
      <w:start w:val="1"/>
      <w:numFmt w:val="decimal"/>
      <w:lvlText w:val="%1"/>
      <w:lvlJc w:val="left"/>
      <w:pPr>
        <w:tabs>
          <w:tab w:val="num" w:pos="-31680"/>
        </w:tabs>
        <w:ind w:left="720" w:hanging="720"/>
      </w:pPr>
      <w:rPr>
        <w:rFonts w:hint="default"/>
      </w:rPr>
    </w:lvl>
    <w:lvl w:ilvl="1">
      <w:start w:val="1"/>
      <w:numFmt w:val="decimal"/>
      <w:lvlText w:val="%1.%2"/>
      <w:lvlJc w:val="left"/>
      <w:pPr>
        <w:tabs>
          <w:tab w:val="num" w:pos="-31680"/>
        </w:tabs>
        <w:ind w:left="720" w:hanging="720"/>
      </w:pPr>
      <w:rPr>
        <w:rFonts w:hint="default"/>
      </w:rPr>
    </w:lvl>
    <w:lvl w:ilvl="2">
      <w:start w:val="1"/>
      <w:numFmt w:val="decimal"/>
      <w:lvlText w:val="%1.%2.%3"/>
      <w:lvlJc w:val="left"/>
      <w:pPr>
        <w:tabs>
          <w:tab w:val="num" w:pos="-31680"/>
        </w:tabs>
        <w:ind w:left="720" w:hanging="720"/>
      </w:pPr>
      <w:rPr>
        <w:rFonts w:hint="default"/>
      </w:rPr>
    </w:lvl>
    <w:lvl w:ilvl="3">
      <w:start w:val="1"/>
      <w:numFmt w:val="decimal"/>
      <w:lvlText w:val="%1.%2.%3.%4"/>
      <w:lvlJc w:val="left"/>
      <w:pPr>
        <w:tabs>
          <w:tab w:val="num" w:pos="-31680"/>
        </w:tabs>
        <w:ind w:left="720" w:hanging="72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35971C1C"/>
    <w:multiLevelType w:val="hybridMultilevel"/>
    <w:tmpl w:val="42F8B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7AE5F86"/>
    <w:multiLevelType w:val="hybridMultilevel"/>
    <w:tmpl w:val="BE869862"/>
    <w:lvl w:ilvl="0" w:tplc="0CA46EF4">
      <w:start w:val="1"/>
      <w:numFmt w:val="lowerRoman"/>
      <w:lvlText w:val="%1)"/>
      <w:lvlJc w:val="right"/>
      <w:pPr>
        <w:tabs>
          <w:tab w:val="num" w:pos="1656"/>
        </w:tabs>
        <w:ind w:left="1656" w:hanging="360"/>
      </w:pPr>
      <w:rPr>
        <w:rFonts w:ascii="Arial" w:hAnsi="Arial" w:hint="default"/>
        <w:b w:val="0"/>
        <w:i w:val="0"/>
        <w:sz w:val="24"/>
      </w:rPr>
    </w:lvl>
    <w:lvl w:ilvl="1" w:tplc="284EAE58" w:tentative="1">
      <w:start w:val="1"/>
      <w:numFmt w:val="lowerLetter"/>
      <w:lvlText w:val="%2."/>
      <w:lvlJc w:val="left"/>
      <w:pPr>
        <w:tabs>
          <w:tab w:val="num" w:pos="1440"/>
        </w:tabs>
        <w:ind w:left="1440" w:hanging="360"/>
      </w:pPr>
    </w:lvl>
    <w:lvl w:ilvl="2" w:tplc="EC5C3B40" w:tentative="1">
      <w:start w:val="1"/>
      <w:numFmt w:val="lowerRoman"/>
      <w:lvlText w:val="%3."/>
      <w:lvlJc w:val="right"/>
      <w:pPr>
        <w:tabs>
          <w:tab w:val="num" w:pos="2160"/>
        </w:tabs>
        <w:ind w:left="2160" w:hanging="180"/>
      </w:pPr>
    </w:lvl>
    <w:lvl w:ilvl="3" w:tplc="7A8A8FBC" w:tentative="1">
      <w:start w:val="1"/>
      <w:numFmt w:val="decimal"/>
      <w:lvlText w:val="%4."/>
      <w:lvlJc w:val="left"/>
      <w:pPr>
        <w:tabs>
          <w:tab w:val="num" w:pos="2880"/>
        </w:tabs>
        <w:ind w:left="2880" w:hanging="360"/>
      </w:pPr>
    </w:lvl>
    <w:lvl w:ilvl="4" w:tplc="C2D88370" w:tentative="1">
      <w:start w:val="1"/>
      <w:numFmt w:val="lowerLetter"/>
      <w:lvlText w:val="%5."/>
      <w:lvlJc w:val="left"/>
      <w:pPr>
        <w:tabs>
          <w:tab w:val="num" w:pos="3600"/>
        </w:tabs>
        <w:ind w:left="3600" w:hanging="360"/>
      </w:pPr>
    </w:lvl>
    <w:lvl w:ilvl="5" w:tplc="E3AE4C10" w:tentative="1">
      <w:start w:val="1"/>
      <w:numFmt w:val="lowerRoman"/>
      <w:lvlText w:val="%6."/>
      <w:lvlJc w:val="right"/>
      <w:pPr>
        <w:tabs>
          <w:tab w:val="num" w:pos="4320"/>
        </w:tabs>
        <w:ind w:left="4320" w:hanging="180"/>
      </w:pPr>
    </w:lvl>
    <w:lvl w:ilvl="6" w:tplc="61C8B400" w:tentative="1">
      <w:start w:val="1"/>
      <w:numFmt w:val="decimal"/>
      <w:lvlText w:val="%7."/>
      <w:lvlJc w:val="left"/>
      <w:pPr>
        <w:tabs>
          <w:tab w:val="num" w:pos="5040"/>
        </w:tabs>
        <w:ind w:left="5040" w:hanging="360"/>
      </w:pPr>
    </w:lvl>
    <w:lvl w:ilvl="7" w:tplc="03E00AF4" w:tentative="1">
      <w:start w:val="1"/>
      <w:numFmt w:val="lowerLetter"/>
      <w:lvlText w:val="%8."/>
      <w:lvlJc w:val="left"/>
      <w:pPr>
        <w:tabs>
          <w:tab w:val="num" w:pos="5760"/>
        </w:tabs>
        <w:ind w:left="5760" w:hanging="360"/>
      </w:pPr>
    </w:lvl>
    <w:lvl w:ilvl="8" w:tplc="71507626" w:tentative="1">
      <w:start w:val="1"/>
      <w:numFmt w:val="lowerRoman"/>
      <w:lvlText w:val="%9."/>
      <w:lvlJc w:val="right"/>
      <w:pPr>
        <w:tabs>
          <w:tab w:val="num" w:pos="6480"/>
        </w:tabs>
        <w:ind w:left="6480" w:hanging="180"/>
      </w:pPr>
    </w:lvl>
  </w:abstractNum>
  <w:abstractNum w:abstractNumId="15">
    <w:nsid w:val="38CF09A6"/>
    <w:multiLevelType w:val="hybridMultilevel"/>
    <w:tmpl w:val="A034732C"/>
    <w:lvl w:ilvl="0" w:tplc="2306F78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A131EFE"/>
    <w:multiLevelType w:val="multilevel"/>
    <w:tmpl w:val="1298B7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lowerLetter"/>
      <w:lvlText w:val="(%5)"/>
      <w:lvlJc w:val="left"/>
      <w:pPr>
        <w:tabs>
          <w:tab w:val="num" w:pos="-31680"/>
        </w:tabs>
        <w:ind w:left="1440" w:hanging="720"/>
      </w:pPr>
      <w:rPr>
        <w:rFonts w:hint="default"/>
      </w:rPr>
    </w:lvl>
    <w:lvl w:ilvl="5">
      <w:start w:val="1"/>
      <w:numFmt w:val="lowerRoman"/>
      <w:lvlText w:val="(%6)"/>
      <w:lvlJc w:val="left"/>
      <w:pPr>
        <w:tabs>
          <w:tab w:val="num" w:pos="-31680"/>
        </w:tabs>
        <w:ind w:left="2160" w:hanging="720"/>
      </w:pPr>
      <w:rPr>
        <w:rFonts w:hint="default"/>
      </w:rPr>
    </w:lvl>
    <w:lvl w:ilvl="6">
      <w:start w:val="1"/>
      <w:numFmt w:val="bullet"/>
      <w:lvlText w:val=""/>
      <w:lvlJc w:val="left"/>
      <w:pPr>
        <w:tabs>
          <w:tab w:val="num" w:pos="720"/>
        </w:tabs>
        <w:ind w:left="720" w:hanging="720"/>
      </w:pPr>
      <w:rPr>
        <w:rFonts w:ascii="Symbol" w:hAnsi="Symbol" w:hint="default"/>
        <w:sz w:val="24"/>
      </w:rPr>
    </w:lvl>
    <w:lvl w:ilvl="7">
      <w:start w:val="1"/>
      <w:numFmt w:val="bullet"/>
      <w:lvlText w:val=""/>
      <w:lvlJc w:val="left"/>
      <w:pPr>
        <w:tabs>
          <w:tab w:val="num" w:pos="1440"/>
        </w:tabs>
        <w:ind w:left="1440" w:hanging="720"/>
      </w:pPr>
      <w:rPr>
        <w:rFonts w:ascii="Symbol" w:hAnsi="Symbol" w:hint="default"/>
        <w:sz w:val="28"/>
      </w:rPr>
    </w:lvl>
    <w:lvl w:ilvl="8">
      <w:start w:val="1"/>
      <w:numFmt w:val="bullet"/>
      <w:lvlText w:val=""/>
      <w:lvlJc w:val="left"/>
      <w:pPr>
        <w:tabs>
          <w:tab w:val="num" w:pos="2041"/>
        </w:tabs>
        <w:ind w:left="2041" w:hanging="601"/>
      </w:pPr>
      <w:rPr>
        <w:rFonts w:ascii="Symbol" w:hAnsi="Symbol" w:hint="default"/>
        <w:sz w:val="28"/>
      </w:rPr>
    </w:lvl>
  </w:abstractNum>
  <w:abstractNum w:abstractNumId="17">
    <w:nsid w:val="446B0550"/>
    <w:multiLevelType w:val="multilevel"/>
    <w:tmpl w:val="5268E894"/>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5B505AB8"/>
    <w:multiLevelType w:val="multilevel"/>
    <w:tmpl w:val="DE84116A"/>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lowerLetter"/>
      <w:lvlRestart w:val="1"/>
      <w:lvlText w:val="(%5)"/>
      <w:lvlJc w:val="left"/>
      <w:pPr>
        <w:tabs>
          <w:tab w:val="num" w:pos="-31680"/>
        </w:tabs>
        <w:ind w:left="1440" w:hanging="720"/>
      </w:pPr>
      <w:rPr>
        <w:rFonts w:hint="default"/>
      </w:rPr>
    </w:lvl>
    <w:lvl w:ilvl="5">
      <w:start w:val="1"/>
      <w:numFmt w:val="lowerRoman"/>
      <w:lvlRestart w:val="1"/>
      <w:lvlText w:val="(%6)"/>
      <w:lvlJc w:val="left"/>
      <w:pPr>
        <w:tabs>
          <w:tab w:val="num" w:pos="-31680"/>
        </w:tabs>
        <w:ind w:left="2160" w:hanging="720"/>
      </w:pPr>
      <w:rPr>
        <w:rFonts w:hint="default"/>
      </w:rPr>
    </w:lvl>
    <w:lvl w:ilvl="6">
      <w:start w:val="1"/>
      <w:numFmt w:val="bullet"/>
      <w:lvlText w:val=""/>
      <w:lvlJc w:val="left"/>
      <w:pPr>
        <w:tabs>
          <w:tab w:val="num" w:pos="720"/>
        </w:tabs>
        <w:ind w:left="720" w:hanging="720"/>
      </w:pPr>
      <w:rPr>
        <w:rFonts w:ascii="Symbol" w:hAnsi="Symbol" w:hint="default"/>
        <w:sz w:val="24"/>
      </w:rPr>
    </w:lvl>
    <w:lvl w:ilvl="7">
      <w:start w:val="1"/>
      <w:numFmt w:val="bullet"/>
      <w:lvlText w:val=""/>
      <w:lvlJc w:val="left"/>
      <w:pPr>
        <w:tabs>
          <w:tab w:val="num" w:pos="1440"/>
        </w:tabs>
        <w:ind w:left="1440" w:hanging="720"/>
      </w:pPr>
      <w:rPr>
        <w:rFonts w:ascii="Symbol" w:hAnsi="Symbol" w:hint="default"/>
        <w:sz w:val="28"/>
      </w:rPr>
    </w:lvl>
    <w:lvl w:ilvl="8">
      <w:start w:val="1"/>
      <w:numFmt w:val="bullet"/>
      <w:lvlText w:val=""/>
      <w:lvlJc w:val="left"/>
      <w:pPr>
        <w:tabs>
          <w:tab w:val="num" w:pos="2041"/>
        </w:tabs>
        <w:ind w:left="2041" w:hanging="601"/>
      </w:pPr>
      <w:rPr>
        <w:rFonts w:ascii="Symbol" w:hAnsi="Symbol" w:hint="default"/>
        <w:sz w:val="28"/>
      </w:rPr>
    </w:lvl>
  </w:abstractNum>
  <w:abstractNum w:abstractNumId="19">
    <w:nsid w:val="683E5632"/>
    <w:multiLevelType w:val="multilevel"/>
    <w:tmpl w:val="4ADE8ED8"/>
    <w:lvl w:ilvl="0">
      <w:start w:val="1"/>
      <w:numFmt w:val="decimal"/>
      <w:lvlText w:val="%1"/>
      <w:lvlJc w:val="left"/>
      <w:pPr>
        <w:tabs>
          <w:tab w:val="num" w:pos="-31680"/>
        </w:tabs>
        <w:ind w:left="720" w:hanging="72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697D241D"/>
    <w:multiLevelType w:val="hybridMultilevel"/>
    <w:tmpl w:val="51244720"/>
    <w:lvl w:ilvl="0" w:tplc="FFFFFFFF">
      <w:start w:val="1"/>
      <w:numFmt w:val="bullet"/>
      <w:lvlText w:val=""/>
      <w:lvlJc w:val="left"/>
      <w:pPr>
        <w:ind w:left="1429" w:hanging="360"/>
      </w:pPr>
      <w:rPr>
        <w:rFonts w:ascii="Wingdings" w:hAnsi="Wingdings" w:hint="default"/>
        <w:caps w:val="0"/>
        <w:strike w:val="0"/>
        <w:dstrike w:val="0"/>
        <w:vanish w:val="0"/>
        <w:color w:val="5F5F5F"/>
        <w:sz w:val="20"/>
        <w:vertAlign w:val="baseline"/>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1">
    <w:nsid w:val="6E451CAE"/>
    <w:multiLevelType w:val="multilevel"/>
    <w:tmpl w:val="603C673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lowerLetter"/>
      <w:lvlRestart w:val="0"/>
      <w:lvlText w:val="%5)"/>
      <w:lvlJc w:val="left"/>
      <w:pPr>
        <w:tabs>
          <w:tab w:val="num" w:pos="1440"/>
        </w:tabs>
        <w:ind w:left="1440" w:hanging="720"/>
      </w:pPr>
      <w:rPr>
        <w:rFonts w:hint="default"/>
      </w:rPr>
    </w:lvl>
    <w:lvl w:ilvl="5">
      <w:start w:val="1"/>
      <w:numFmt w:val="lowerRoman"/>
      <w:lvlText w:val="%6)"/>
      <w:lvlJc w:val="left"/>
      <w:pPr>
        <w:tabs>
          <w:tab w:val="num" w:pos="2041"/>
        </w:tabs>
        <w:ind w:left="2041" w:hanging="601"/>
      </w:pPr>
      <w:rPr>
        <w:rFonts w:hint="default"/>
      </w:rPr>
    </w:lvl>
    <w:lvl w:ilvl="6">
      <w:start w:val="1"/>
      <w:numFmt w:val="bullet"/>
      <w:lvlText w:val=""/>
      <w:lvlJc w:val="left"/>
      <w:pPr>
        <w:tabs>
          <w:tab w:val="num" w:pos="720"/>
        </w:tabs>
        <w:ind w:left="720" w:hanging="720"/>
      </w:pPr>
      <w:rPr>
        <w:rFonts w:ascii="Symbol" w:hAnsi="Symbol" w:hint="default"/>
        <w:sz w:val="24"/>
      </w:rPr>
    </w:lvl>
    <w:lvl w:ilvl="7">
      <w:start w:val="1"/>
      <w:numFmt w:val="bullet"/>
      <w:lvlText w:val=""/>
      <w:lvlJc w:val="left"/>
      <w:pPr>
        <w:tabs>
          <w:tab w:val="num" w:pos="1440"/>
        </w:tabs>
        <w:ind w:left="1440" w:hanging="720"/>
      </w:pPr>
      <w:rPr>
        <w:rFonts w:ascii="Symbol" w:hAnsi="Symbol" w:hint="default"/>
        <w:sz w:val="28"/>
      </w:rPr>
    </w:lvl>
    <w:lvl w:ilvl="8">
      <w:start w:val="1"/>
      <w:numFmt w:val="bullet"/>
      <w:lvlText w:val=""/>
      <w:lvlJc w:val="left"/>
      <w:pPr>
        <w:tabs>
          <w:tab w:val="num" w:pos="2041"/>
        </w:tabs>
        <w:ind w:left="2041" w:hanging="601"/>
      </w:pPr>
      <w:rPr>
        <w:rFonts w:ascii="Symbol" w:hAnsi="Symbol" w:hint="default"/>
        <w:sz w:val="28"/>
      </w:rPr>
    </w:lvl>
  </w:abstractNum>
  <w:abstractNum w:abstractNumId="22">
    <w:nsid w:val="6ED77F93"/>
    <w:multiLevelType w:val="hybridMultilevel"/>
    <w:tmpl w:val="1492722C"/>
    <w:lvl w:ilvl="0" w:tplc="FFFFFFFF">
      <w:start w:val="1"/>
      <w:numFmt w:val="bullet"/>
      <w:lvlText w:val=""/>
      <w:lvlJc w:val="left"/>
      <w:pPr>
        <w:ind w:left="1069" w:hanging="360"/>
      </w:pPr>
      <w:rPr>
        <w:rFonts w:ascii="Wingdings" w:hAnsi="Wingdings" w:hint="default"/>
        <w:caps w:val="0"/>
        <w:strike w:val="0"/>
        <w:dstrike w:val="0"/>
        <w:vanish w:val="0"/>
        <w:color w:val="5F5F5F"/>
        <w:sz w:val="20"/>
        <w:vertAlign w:val="baseline"/>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3">
    <w:nsid w:val="70C2195C"/>
    <w:multiLevelType w:val="hybridMultilevel"/>
    <w:tmpl w:val="11C8635E"/>
    <w:lvl w:ilvl="0" w:tplc="84BA4EF8">
      <w:start w:val="1"/>
      <w:numFmt w:val="bullet"/>
      <w:pStyle w:val="TSBullet1Square"/>
      <w:lvlText w:val=""/>
      <w:lvlJc w:val="left"/>
      <w:pPr>
        <w:tabs>
          <w:tab w:val="num" w:pos="-31680"/>
        </w:tabs>
        <w:ind w:left="1440" w:hanging="720"/>
      </w:pPr>
      <w:rPr>
        <w:rFonts w:ascii="Wingdings" w:hAnsi="Wingdings" w:hint="default"/>
        <w:b w:val="0"/>
        <w:i w:val="0"/>
        <w:color w:val="333333"/>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72421566"/>
    <w:multiLevelType w:val="hybridMultilevel"/>
    <w:tmpl w:val="1B26CC14"/>
    <w:lvl w:ilvl="0" w:tplc="81DE8800">
      <w:start w:val="1"/>
      <w:numFmt w:val="bullet"/>
      <w:lvlText w:val=""/>
      <w:lvlJc w:val="left"/>
      <w:pPr>
        <w:ind w:left="726" w:hanging="360"/>
      </w:pPr>
      <w:rPr>
        <w:rFonts w:ascii="Symbol" w:hAnsi="Symbol" w:hint="default"/>
      </w:rPr>
    </w:lvl>
    <w:lvl w:ilvl="1" w:tplc="08090003" w:tentative="1">
      <w:start w:val="1"/>
      <w:numFmt w:val="bullet"/>
      <w:lvlText w:val="o"/>
      <w:lvlJc w:val="left"/>
      <w:pPr>
        <w:ind w:left="1446" w:hanging="360"/>
      </w:pPr>
      <w:rPr>
        <w:rFonts w:ascii="Courier New" w:hAnsi="Courier New" w:cs="Courier New" w:hint="default"/>
      </w:rPr>
    </w:lvl>
    <w:lvl w:ilvl="2" w:tplc="08090005" w:tentative="1">
      <w:start w:val="1"/>
      <w:numFmt w:val="bullet"/>
      <w:lvlText w:val=""/>
      <w:lvlJc w:val="left"/>
      <w:pPr>
        <w:ind w:left="2166" w:hanging="360"/>
      </w:pPr>
      <w:rPr>
        <w:rFonts w:ascii="Wingdings" w:hAnsi="Wingdings" w:hint="default"/>
      </w:rPr>
    </w:lvl>
    <w:lvl w:ilvl="3" w:tplc="08090001" w:tentative="1">
      <w:start w:val="1"/>
      <w:numFmt w:val="bullet"/>
      <w:lvlText w:val=""/>
      <w:lvlJc w:val="left"/>
      <w:pPr>
        <w:ind w:left="2886" w:hanging="360"/>
      </w:pPr>
      <w:rPr>
        <w:rFonts w:ascii="Symbol" w:hAnsi="Symbol" w:hint="default"/>
      </w:rPr>
    </w:lvl>
    <w:lvl w:ilvl="4" w:tplc="08090003" w:tentative="1">
      <w:start w:val="1"/>
      <w:numFmt w:val="bullet"/>
      <w:lvlText w:val="o"/>
      <w:lvlJc w:val="left"/>
      <w:pPr>
        <w:ind w:left="3606" w:hanging="360"/>
      </w:pPr>
      <w:rPr>
        <w:rFonts w:ascii="Courier New" w:hAnsi="Courier New" w:cs="Courier New" w:hint="default"/>
      </w:rPr>
    </w:lvl>
    <w:lvl w:ilvl="5" w:tplc="08090005" w:tentative="1">
      <w:start w:val="1"/>
      <w:numFmt w:val="bullet"/>
      <w:lvlText w:val=""/>
      <w:lvlJc w:val="left"/>
      <w:pPr>
        <w:ind w:left="4326" w:hanging="360"/>
      </w:pPr>
      <w:rPr>
        <w:rFonts w:ascii="Wingdings" w:hAnsi="Wingdings" w:hint="default"/>
      </w:rPr>
    </w:lvl>
    <w:lvl w:ilvl="6" w:tplc="08090001" w:tentative="1">
      <w:start w:val="1"/>
      <w:numFmt w:val="bullet"/>
      <w:lvlText w:val=""/>
      <w:lvlJc w:val="left"/>
      <w:pPr>
        <w:ind w:left="5046" w:hanging="360"/>
      </w:pPr>
      <w:rPr>
        <w:rFonts w:ascii="Symbol" w:hAnsi="Symbol" w:hint="default"/>
      </w:rPr>
    </w:lvl>
    <w:lvl w:ilvl="7" w:tplc="08090003" w:tentative="1">
      <w:start w:val="1"/>
      <w:numFmt w:val="bullet"/>
      <w:lvlText w:val="o"/>
      <w:lvlJc w:val="left"/>
      <w:pPr>
        <w:ind w:left="5766" w:hanging="360"/>
      </w:pPr>
      <w:rPr>
        <w:rFonts w:ascii="Courier New" w:hAnsi="Courier New" w:cs="Courier New" w:hint="default"/>
      </w:rPr>
    </w:lvl>
    <w:lvl w:ilvl="8" w:tplc="08090005" w:tentative="1">
      <w:start w:val="1"/>
      <w:numFmt w:val="bullet"/>
      <w:lvlText w:val=""/>
      <w:lvlJc w:val="left"/>
      <w:pPr>
        <w:ind w:left="6486" w:hanging="360"/>
      </w:pPr>
      <w:rPr>
        <w:rFonts w:ascii="Wingdings" w:hAnsi="Wingdings" w:hint="default"/>
      </w:rPr>
    </w:lvl>
  </w:abstractNum>
  <w:abstractNum w:abstractNumId="25">
    <w:nsid w:val="752C659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752E4177"/>
    <w:multiLevelType w:val="multilevel"/>
    <w:tmpl w:val="251E6DCE"/>
    <w:lvl w:ilvl="0">
      <w:start w:val="1"/>
      <w:numFmt w:val="bullet"/>
      <w:lvlText w:val=""/>
      <w:lvlJc w:val="left"/>
      <w:pPr>
        <w:tabs>
          <w:tab w:val="num" w:pos="-31680"/>
        </w:tabs>
        <w:ind w:left="720" w:hanging="72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75662619"/>
    <w:multiLevelType w:val="hybridMultilevel"/>
    <w:tmpl w:val="43F8FBF0"/>
    <w:lvl w:ilvl="0" w:tplc="D44C0BEE">
      <w:start w:val="1"/>
      <w:numFmt w:val="bullet"/>
      <w:lvlText w:val=""/>
      <w:lvlJc w:val="left"/>
      <w:pPr>
        <w:tabs>
          <w:tab w:val="num" w:pos="1191"/>
        </w:tabs>
        <w:ind w:left="1191" w:hanging="45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7"/>
  </w:num>
  <w:num w:numId="3">
    <w:abstractNumId w:val="16"/>
  </w:num>
  <w:num w:numId="4">
    <w:abstractNumId w:val="0"/>
  </w:num>
  <w:num w:numId="5">
    <w:abstractNumId w:val="14"/>
  </w:num>
  <w:num w:numId="6">
    <w:abstractNumId w:val="25"/>
  </w:num>
  <w:num w:numId="7">
    <w:abstractNumId w:val="21"/>
  </w:num>
  <w:num w:numId="8">
    <w:abstractNumId w:val="18"/>
  </w:num>
  <w:num w:numId="9">
    <w:abstractNumId w:val="26"/>
  </w:num>
  <w:num w:numId="10">
    <w:abstractNumId w:val="2"/>
  </w:num>
  <w:num w:numId="11">
    <w:abstractNumId w:val="8"/>
  </w:num>
  <w:num w:numId="12">
    <w:abstractNumId w:val="11"/>
  </w:num>
  <w:num w:numId="13">
    <w:abstractNumId w:val="1"/>
  </w:num>
  <w:num w:numId="14">
    <w:abstractNumId w:val="19"/>
  </w:num>
  <w:num w:numId="15">
    <w:abstractNumId w:val="12"/>
  </w:num>
  <w:num w:numId="16">
    <w:abstractNumId w:val="23"/>
  </w:num>
  <w:num w:numId="17">
    <w:abstractNumId w:val="9"/>
  </w:num>
  <w:num w:numId="18">
    <w:abstractNumId w:val="17"/>
  </w:num>
  <w:num w:numId="19">
    <w:abstractNumId w:val="15"/>
  </w:num>
  <w:num w:numId="20">
    <w:abstractNumId w:val="3"/>
  </w:num>
  <w:num w:numId="21">
    <w:abstractNumId w:val="24"/>
  </w:num>
  <w:num w:numId="22">
    <w:abstractNumId w:val="4"/>
  </w:num>
  <w:num w:numId="23">
    <w:abstractNumId w:val="20"/>
  </w:num>
  <w:num w:numId="24">
    <w:abstractNumId w:val="22"/>
  </w:num>
  <w:num w:numId="25">
    <w:abstractNumId w:val="13"/>
  </w:num>
  <w:num w:numId="26">
    <w:abstractNumId w:val="5"/>
  </w:num>
  <w:num w:numId="27">
    <w:abstractNumId w:val="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A22"/>
    <w:rsid w:val="00030D3C"/>
    <w:rsid w:val="000312D3"/>
    <w:rsid w:val="000375D1"/>
    <w:rsid w:val="00053FFB"/>
    <w:rsid w:val="000715BD"/>
    <w:rsid w:val="00096F71"/>
    <w:rsid w:val="000B1830"/>
    <w:rsid w:val="000B4246"/>
    <w:rsid w:val="000B4E40"/>
    <w:rsid w:val="000C5D00"/>
    <w:rsid w:val="000D6244"/>
    <w:rsid w:val="00121C8F"/>
    <w:rsid w:val="00131ECC"/>
    <w:rsid w:val="00144CEA"/>
    <w:rsid w:val="001551D6"/>
    <w:rsid w:val="00164F4F"/>
    <w:rsid w:val="001A58B1"/>
    <w:rsid w:val="001C3DB8"/>
    <w:rsid w:val="001D78A1"/>
    <w:rsid w:val="00200CB7"/>
    <w:rsid w:val="0021074A"/>
    <w:rsid w:val="00216018"/>
    <w:rsid w:val="0024518E"/>
    <w:rsid w:val="0028011F"/>
    <w:rsid w:val="0028356A"/>
    <w:rsid w:val="00284026"/>
    <w:rsid w:val="00297401"/>
    <w:rsid w:val="0031706E"/>
    <w:rsid w:val="00375C6D"/>
    <w:rsid w:val="003B4AA2"/>
    <w:rsid w:val="003C0C9B"/>
    <w:rsid w:val="003D005E"/>
    <w:rsid w:val="003E2CA6"/>
    <w:rsid w:val="003E452E"/>
    <w:rsid w:val="004750A2"/>
    <w:rsid w:val="00487A22"/>
    <w:rsid w:val="004A7B1B"/>
    <w:rsid w:val="004F24BC"/>
    <w:rsid w:val="00520333"/>
    <w:rsid w:val="005322E6"/>
    <w:rsid w:val="005556C6"/>
    <w:rsid w:val="00562F2F"/>
    <w:rsid w:val="00567E5D"/>
    <w:rsid w:val="005A1570"/>
    <w:rsid w:val="005A5A87"/>
    <w:rsid w:val="005B503C"/>
    <w:rsid w:val="00604F23"/>
    <w:rsid w:val="006A667F"/>
    <w:rsid w:val="006B2DA6"/>
    <w:rsid w:val="006C519A"/>
    <w:rsid w:val="006F1199"/>
    <w:rsid w:val="006F5420"/>
    <w:rsid w:val="00715C62"/>
    <w:rsid w:val="0072164C"/>
    <w:rsid w:val="007655C6"/>
    <w:rsid w:val="007B4EE0"/>
    <w:rsid w:val="007D545C"/>
    <w:rsid w:val="007F7246"/>
    <w:rsid w:val="00891423"/>
    <w:rsid w:val="008A7BDD"/>
    <w:rsid w:val="008D71E9"/>
    <w:rsid w:val="008E67CB"/>
    <w:rsid w:val="0091041C"/>
    <w:rsid w:val="00932851"/>
    <w:rsid w:val="009336BC"/>
    <w:rsid w:val="00943D87"/>
    <w:rsid w:val="009678DE"/>
    <w:rsid w:val="009765DB"/>
    <w:rsid w:val="00987AA6"/>
    <w:rsid w:val="009A3DE7"/>
    <w:rsid w:val="009B5159"/>
    <w:rsid w:val="009D3CD0"/>
    <w:rsid w:val="009F1B6F"/>
    <w:rsid w:val="00A25EB0"/>
    <w:rsid w:val="00A41FDA"/>
    <w:rsid w:val="00A442D1"/>
    <w:rsid w:val="00AB2BB0"/>
    <w:rsid w:val="00AB7147"/>
    <w:rsid w:val="00AD5635"/>
    <w:rsid w:val="00AE199F"/>
    <w:rsid w:val="00B255B3"/>
    <w:rsid w:val="00B43C54"/>
    <w:rsid w:val="00B504F7"/>
    <w:rsid w:val="00B56CCE"/>
    <w:rsid w:val="00B81B18"/>
    <w:rsid w:val="00BC24ED"/>
    <w:rsid w:val="00BC5FC8"/>
    <w:rsid w:val="00C25583"/>
    <w:rsid w:val="00C335D0"/>
    <w:rsid w:val="00C75298"/>
    <w:rsid w:val="00C75A1C"/>
    <w:rsid w:val="00CA3B14"/>
    <w:rsid w:val="00CD7B5F"/>
    <w:rsid w:val="00CE5958"/>
    <w:rsid w:val="00CE6571"/>
    <w:rsid w:val="00D3061A"/>
    <w:rsid w:val="00D55197"/>
    <w:rsid w:val="00D75DA2"/>
    <w:rsid w:val="00D7747E"/>
    <w:rsid w:val="00DC6611"/>
    <w:rsid w:val="00DE4417"/>
    <w:rsid w:val="00DF3697"/>
    <w:rsid w:val="00E12A39"/>
    <w:rsid w:val="00E32F3B"/>
    <w:rsid w:val="00E71B0C"/>
    <w:rsid w:val="00E87C8C"/>
    <w:rsid w:val="00E9478E"/>
    <w:rsid w:val="00E97293"/>
    <w:rsid w:val="00EA5EB4"/>
    <w:rsid w:val="00ED5F2B"/>
    <w:rsid w:val="00FB55F3"/>
    <w:rsid w:val="00FD0C4A"/>
    <w:rsid w:val="00FF1A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67CB"/>
    <w:rPr>
      <w:rFonts w:ascii="Arial" w:hAnsi="Arial"/>
      <w:sz w:val="22"/>
      <w:szCs w:val="24"/>
      <w:lang w:eastAsia="en-US"/>
    </w:rPr>
  </w:style>
  <w:style w:type="paragraph" w:styleId="Heading1">
    <w:name w:val="heading 1"/>
    <w:aliases w:val="Centre"/>
    <w:basedOn w:val="Normal"/>
    <w:next w:val="Normal"/>
    <w:qFormat/>
    <w:rsid w:val="00200CB7"/>
    <w:pPr>
      <w:keepNext/>
      <w:jc w:val="center"/>
      <w:outlineLvl w:val="0"/>
    </w:pPr>
    <w:rPr>
      <w:rFonts w:cs="Arial"/>
      <w:b/>
      <w:bCs/>
      <w:caps/>
      <w:kern w:val="32"/>
      <w:sz w:val="28"/>
      <w:szCs w:val="32"/>
    </w:rPr>
  </w:style>
  <w:style w:type="paragraph" w:styleId="Heading2">
    <w:name w:val="heading 2"/>
    <w:aliases w:val="Left"/>
    <w:basedOn w:val="Normal"/>
    <w:next w:val="Normal"/>
    <w:qFormat/>
    <w:rsid w:val="00CE6571"/>
    <w:pPr>
      <w:keepNext/>
      <w:outlineLvl w:val="1"/>
    </w:pPr>
    <w:rPr>
      <w:rFonts w:cs="Arial"/>
      <w:b/>
      <w:bCs/>
      <w:iCs/>
      <w:caps/>
      <w:szCs w:val="28"/>
    </w:rPr>
  </w:style>
  <w:style w:type="paragraph" w:styleId="Heading3">
    <w:name w:val="heading 3"/>
    <w:aliases w:val="Sub"/>
    <w:basedOn w:val="Normal"/>
    <w:next w:val="Normal"/>
    <w:qFormat/>
    <w:rsid w:val="00CE6571"/>
    <w:pPr>
      <w:keepNext/>
      <w:outlineLvl w:val="2"/>
    </w:pPr>
    <w:rPr>
      <w:rFonts w:cs="Arial"/>
      <w:b/>
      <w:bCs/>
      <w:szCs w:val="26"/>
    </w:rPr>
  </w:style>
  <w:style w:type="paragraph" w:styleId="Heading4">
    <w:name w:val="heading 4"/>
    <w:basedOn w:val="Normal"/>
    <w:next w:val="Normal"/>
    <w:qFormat/>
    <w:rsid w:val="00CE6571"/>
    <w:pPr>
      <w:keepNext/>
      <w:spacing w:before="240" w:after="60"/>
      <w:outlineLvl w:val="3"/>
    </w:pPr>
    <w:rPr>
      <w:rFonts w:ascii="Times New Roman" w:hAnsi="Times New Roman"/>
      <w:b/>
      <w:bCs/>
      <w:sz w:val="28"/>
      <w:szCs w:val="28"/>
    </w:rPr>
  </w:style>
  <w:style w:type="paragraph" w:styleId="Heading5">
    <w:name w:val="heading 5"/>
    <w:basedOn w:val="Normal"/>
    <w:next w:val="Normal"/>
    <w:qFormat/>
    <w:rsid w:val="00CE6571"/>
    <w:pPr>
      <w:numPr>
        <w:ilvl w:val="4"/>
        <w:numId w:val="12"/>
      </w:numPr>
      <w:spacing w:before="240" w:after="60"/>
      <w:outlineLvl w:val="4"/>
    </w:pPr>
    <w:rPr>
      <w:b/>
      <w:bCs/>
      <w:i/>
      <w:iCs/>
      <w:sz w:val="26"/>
      <w:szCs w:val="26"/>
    </w:rPr>
  </w:style>
  <w:style w:type="paragraph" w:styleId="Heading6">
    <w:name w:val="heading 6"/>
    <w:basedOn w:val="Normal"/>
    <w:next w:val="Normal"/>
    <w:qFormat/>
    <w:rsid w:val="00CE6571"/>
    <w:pPr>
      <w:numPr>
        <w:ilvl w:val="5"/>
        <w:numId w:val="12"/>
      </w:numPr>
      <w:spacing w:before="240" w:after="60"/>
      <w:outlineLvl w:val="5"/>
    </w:pPr>
    <w:rPr>
      <w:rFonts w:ascii="Times New Roman" w:hAnsi="Times New Roman"/>
      <w:b/>
      <w:bCs/>
      <w:szCs w:val="22"/>
    </w:rPr>
  </w:style>
  <w:style w:type="paragraph" w:styleId="Heading7">
    <w:name w:val="heading 7"/>
    <w:basedOn w:val="Normal"/>
    <w:next w:val="Normal"/>
    <w:qFormat/>
    <w:rsid w:val="00CE6571"/>
    <w:pPr>
      <w:numPr>
        <w:ilvl w:val="6"/>
        <w:numId w:val="12"/>
      </w:numPr>
      <w:spacing w:before="240" w:after="60"/>
      <w:outlineLvl w:val="6"/>
    </w:pPr>
    <w:rPr>
      <w:rFonts w:ascii="Times New Roman" w:hAnsi="Times New Roman"/>
      <w:sz w:val="24"/>
    </w:rPr>
  </w:style>
  <w:style w:type="paragraph" w:styleId="Heading8">
    <w:name w:val="heading 8"/>
    <w:basedOn w:val="Normal"/>
    <w:next w:val="Normal"/>
    <w:qFormat/>
    <w:rsid w:val="00CE6571"/>
    <w:pPr>
      <w:numPr>
        <w:ilvl w:val="7"/>
        <w:numId w:val="12"/>
      </w:numPr>
      <w:spacing w:before="240" w:after="60"/>
      <w:outlineLvl w:val="7"/>
    </w:pPr>
    <w:rPr>
      <w:rFonts w:ascii="Times New Roman" w:hAnsi="Times New Roman"/>
      <w:i/>
      <w:iCs/>
      <w:sz w:val="24"/>
    </w:rPr>
  </w:style>
  <w:style w:type="paragraph" w:styleId="Heading9">
    <w:name w:val="heading 9"/>
    <w:basedOn w:val="Normal"/>
    <w:next w:val="Normal"/>
    <w:qFormat/>
    <w:rsid w:val="00CE6571"/>
    <w:pPr>
      <w:numPr>
        <w:ilvl w:val="8"/>
        <w:numId w:val="12"/>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87A22"/>
    <w:pPr>
      <w:tabs>
        <w:tab w:val="center" w:pos="4153"/>
        <w:tab w:val="right" w:pos="8306"/>
      </w:tabs>
    </w:pPr>
  </w:style>
  <w:style w:type="table" w:styleId="TableGrid">
    <w:name w:val="Table Grid"/>
    <w:basedOn w:val="TableNormal"/>
    <w:rsid w:val="00131ECC"/>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58" w:type="dxa"/>
        <w:bottom w:w="58" w:type="dxa"/>
        <w:right w:w="58" w:type="dxa"/>
      </w:tblCellMar>
    </w:tblPr>
  </w:style>
  <w:style w:type="paragraph" w:styleId="Footer">
    <w:name w:val="footer"/>
    <w:basedOn w:val="Normal"/>
    <w:rsid w:val="00487A22"/>
    <w:pPr>
      <w:tabs>
        <w:tab w:val="center" w:pos="4153"/>
        <w:tab w:val="right" w:pos="8306"/>
      </w:tabs>
    </w:pPr>
  </w:style>
  <w:style w:type="paragraph" w:customStyle="1" w:styleId="TSHeadingNumbered1">
    <w:name w:val="TS Heading Numbered 1."/>
    <w:basedOn w:val="Normal"/>
    <w:rsid w:val="00E32F3B"/>
    <w:pPr>
      <w:numPr>
        <w:numId w:val="12"/>
      </w:numPr>
      <w:spacing w:after="220"/>
      <w:outlineLvl w:val="0"/>
    </w:pPr>
    <w:rPr>
      <w:rFonts w:ascii="Arial Bold" w:hAnsi="Arial Bold"/>
      <w:b/>
      <w:caps/>
    </w:rPr>
  </w:style>
  <w:style w:type="paragraph" w:customStyle="1" w:styleId="TSHeadingNumbered11">
    <w:name w:val="TS Heading Numbered 1.1"/>
    <w:basedOn w:val="TSHeadingNumbered1"/>
    <w:rsid w:val="00CE6571"/>
    <w:pPr>
      <w:numPr>
        <w:ilvl w:val="1"/>
      </w:numPr>
    </w:pPr>
  </w:style>
  <w:style w:type="paragraph" w:customStyle="1" w:styleId="TSHeadingNumbered111">
    <w:name w:val="TS Heading Numbered 1.1.1"/>
    <w:basedOn w:val="TSHeadingNumbered1"/>
    <w:rsid w:val="00CE6571"/>
    <w:pPr>
      <w:numPr>
        <w:ilvl w:val="2"/>
      </w:numPr>
    </w:pPr>
  </w:style>
  <w:style w:type="paragraph" w:customStyle="1" w:styleId="TSHeadingNumbered1111">
    <w:name w:val="TS Heading Numbered 1.1.1.1"/>
    <w:basedOn w:val="TSHeadingNumbered1"/>
    <w:rsid w:val="00CE6571"/>
    <w:pPr>
      <w:numPr>
        <w:ilvl w:val="3"/>
      </w:numPr>
    </w:pPr>
  </w:style>
  <w:style w:type="character" w:styleId="Hyperlink">
    <w:name w:val="Hyperlink"/>
    <w:rsid w:val="009B5159"/>
    <w:rPr>
      <w:color w:val="0000FF"/>
      <w:u w:val="single"/>
    </w:rPr>
  </w:style>
  <w:style w:type="paragraph" w:customStyle="1" w:styleId="TSNumberedParagraph11">
    <w:name w:val="TS Numbered Paragraph 1.1"/>
    <w:basedOn w:val="TSHeadingNumbered11"/>
    <w:rsid w:val="00E32F3B"/>
    <w:rPr>
      <w:rFonts w:ascii="Arial" w:hAnsi="Arial"/>
      <w:b w:val="0"/>
      <w:caps w:val="0"/>
    </w:rPr>
  </w:style>
  <w:style w:type="character" w:customStyle="1" w:styleId="TSExampleText">
    <w:name w:val="TS Example Text"/>
    <w:rsid w:val="009B5159"/>
    <w:rPr>
      <w:i/>
      <w:iCs/>
      <w:color w:val="006D68"/>
    </w:rPr>
  </w:style>
  <w:style w:type="paragraph" w:styleId="TOC1">
    <w:name w:val="toc 1"/>
    <w:basedOn w:val="Normal"/>
    <w:next w:val="Normal"/>
    <w:autoRedefine/>
    <w:semiHidden/>
    <w:rsid w:val="00E32F3B"/>
    <w:pPr>
      <w:tabs>
        <w:tab w:val="left" w:pos="360"/>
        <w:tab w:val="right" w:leader="dot" w:pos="9180"/>
      </w:tabs>
      <w:ind w:left="360" w:hanging="360"/>
    </w:pPr>
    <w:rPr>
      <w:caps/>
    </w:rPr>
  </w:style>
  <w:style w:type="paragraph" w:customStyle="1" w:styleId="TSBullet1Square">
    <w:name w:val="TS Bullet 1 Square"/>
    <w:basedOn w:val="Normal"/>
    <w:rsid w:val="00B504F7"/>
    <w:pPr>
      <w:numPr>
        <w:numId w:val="16"/>
      </w:numPr>
      <w:spacing w:after="240"/>
      <w:contextualSpacing/>
    </w:pPr>
  </w:style>
  <w:style w:type="paragraph" w:customStyle="1" w:styleId="TSBullet2Circle">
    <w:name w:val="TS Bullet 2 Circle"/>
    <w:basedOn w:val="TSBullet1Square"/>
    <w:rsid w:val="00B504F7"/>
    <w:pPr>
      <w:numPr>
        <w:numId w:val="17"/>
      </w:numPr>
    </w:pPr>
  </w:style>
  <w:style w:type="paragraph" w:customStyle="1" w:styleId="TSNumberedParagraph1">
    <w:name w:val="TS Numbered Paragraph 1"/>
    <w:basedOn w:val="TSNumberedParagraph11"/>
    <w:rsid w:val="00E97293"/>
    <w:pPr>
      <w:numPr>
        <w:ilvl w:val="0"/>
        <w:numId w:val="0"/>
      </w:numPr>
      <w:tabs>
        <w:tab w:val="num" w:pos="-31680"/>
      </w:tabs>
      <w:ind w:left="720" w:hanging="720"/>
    </w:pPr>
  </w:style>
  <w:style w:type="paragraph" w:styleId="DocumentMap">
    <w:name w:val="Document Map"/>
    <w:basedOn w:val="Normal"/>
    <w:semiHidden/>
    <w:rsid w:val="00E32F3B"/>
    <w:pPr>
      <w:shd w:val="clear" w:color="auto" w:fill="000080"/>
    </w:pPr>
    <w:rPr>
      <w:rFonts w:ascii="Tahoma" w:hAnsi="Tahoma" w:cs="Tahoma"/>
      <w:sz w:val="20"/>
      <w:szCs w:val="20"/>
    </w:rPr>
  </w:style>
  <w:style w:type="paragraph" w:customStyle="1" w:styleId="StyleTSNumberedParagraph11Justified">
    <w:name w:val="Style TS Numbered Paragraph 1.1 + Justified"/>
    <w:basedOn w:val="TSNumberedParagraph11"/>
    <w:rsid w:val="00E32F3B"/>
    <w:pPr>
      <w:jc w:val="both"/>
    </w:pPr>
    <w:rPr>
      <w:szCs w:val="20"/>
    </w:rPr>
  </w:style>
  <w:style w:type="character" w:customStyle="1" w:styleId="HeaderChar">
    <w:name w:val="Header Char"/>
    <w:link w:val="Header"/>
    <w:locked/>
    <w:rsid w:val="007D545C"/>
    <w:rPr>
      <w:rFonts w:ascii="Arial" w:hAnsi="Arial"/>
      <w:sz w:val="22"/>
      <w:szCs w:val="24"/>
      <w:lang w:val="en-GB" w:eastAsia="en-US" w:bidi="ar-SA"/>
    </w:rPr>
  </w:style>
  <w:style w:type="character" w:styleId="CommentReference">
    <w:name w:val="annotation reference"/>
    <w:rsid w:val="00AE199F"/>
    <w:rPr>
      <w:sz w:val="16"/>
      <w:szCs w:val="16"/>
    </w:rPr>
  </w:style>
  <w:style w:type="paragraph" w:styleId="CommentText">
    <w:name w:val="annotation text"/>
    <w:basedOn w:val="Normal"/>
    <w:link w:val="CommentTextChar"/>
    <w:rsid w:val="00AE199F"/>
    <w:rPr>
      <w:sz w:val="20"/>
      <w:szCs w:val="20"/>
    </w:rPr>
  </w:style>
  <w:style w:type="character" w:customStyle="1" w:styleId="CommentTextChar">
    <w:name w:val="Comment Text Char"/>
    <w:link w:val="CommentText"/>
    <w:rsid w:val="00AE199F"/>
    <w:rPr>
      <w:rFonts w:ascii="Arial" w:hAnsi="Arial"/>
      <w:lang w:eastAsia="en-US"/>
    </w:rPr>
  </w:style>
  <w:style w:type="paragraph" w:styleId="CommentSubject">
    <w:name w:val="annotation subject"/>
    <w:basedOn w:val="CommentText"/>
    <w:next w:val="CommentText"/>
    <w:link w:val="CommentSubjectChar"/>
    <w:rsid w:val="00AE199F"/>
    <w:rPr>
      <w:b/>
      <w:bCs/>
    </w:rPr>
  </w:style>
  <w:style w:type="character" w:customStyle="1" w:styleId="CommentSubjectChar">
    <w:name w:val="Comment Subject Char"/>
    <w:link w:val="CommentSubject"/>
    <w:rsid w:val="00AE199F"/>
    <w:rPr>
      <w:rFonts w:ascii="Arial" w:hAnsi="Arial"/>
      <w:b/>
      <w:bCs/>
      <w:lang w:eastAsia="en-US"/>
    </w:rPr>
  </w:style>
  <w:style w:type="paragraph" w:styleId="BalloonText">
    <w:name w:val="Balloon Text"/>
    <w:basedOn w:val="Normal"/>
    <w:link w:val="BalloonTextChar"/>
    <w:rsid w:val="00AE199F"/>
    <w:rPr>
      <w:rFonts w:ascii="Tahoma" w:hAnsi="Tahoma" w:cs="Tahoma"/>
      <w:sz w:val="16"/>
      <w:szCs w:val="16"/>
    </w:rPr>
  </w:style>
  <w:style w:type="character" w:customStyle="1" w:styleId="BalloonTextChar">
    <w:name w:val="Balloon Text Char"/>
    <w:link w:val="BalloonText"/>
    <w:rsid w:val="00AE199F"/>
    <w:rPr>
      <w:rFonts w:ascii="Tahoma" w:hAnsi="Tahoma" w:cs="Tahoma"/>
      <w:sz w:val="16"/>
      <w:szCs w:val="16"/>
      <w:lang w:eastAsia="en-US"/>
    </w:rPr>
  </w:style>
  <w:style w:type="paragraph" w:styleId="ListParagraph">
    <w:name w:val="List Paragraph"/>
    <w:basedOn w:val="Normal"/>
    <w:qFormat/>
    <w:rsid w:val="00D75DA2"/>
    <w:pPr>
      <w:ind w:left="720"/>
      <w:contextualSpacing/>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67CB"/>
    <w:rPr>
      <w:rFonts w:ascii="Arial" w:hAnsi="Arial"/>
      <w:sz w:val="22"/>
      <w:szCs w:val="24"/>
      <w:lang w:eastAsia="en-US"/>
    </w:rPr>
  </w:style>
  <w:style w:type="paragraph" w:styleId="Heading1">
    <w:name w:val="heading 1"/>
    <w:aliases w:val="Centre"/>
    <w:basedOn w:val="Normal"/>
    <w:next w:val="Normal"/>
    <w:qFormat/>
    <w:rsid w:val="00200CB7"/>
    <w:pPr>
      <w:keepNext/>
      <w:jc w:val="center"/>
      <w:outlineLvl w:val="0"/>
    </w:pPr>
    <w:rPr>
      <w:rFonts w:cs="Arial"/>
      <w:b/>
      <w:bCs/>
      <w:caps/>
      <w:kern w:val="32"/>
      <w:sz w:val="28"/>
      <w:szCs w:val="32"/>
    </w:rPr>
  </w:style>
  <w:style w:type="paragraph" w:styleId="Heading2">
    <w:name w:val="heading 2"/>
    <w:aliases w:val="Left"/>
    <w:basedOn w:val="Normal"/>
    <w:next w:val="Normal"/>
    <w:qFormat/>
    <w:rsid w:val="00CE6571"/>
    <w:pPr>
      <w:keepNext/>
      <w:outlineLvl w:val="1"/>
    </w:pPr>
    <w:rPr>
      <w:rFonts w:cs="Arial"/>
      <w:b/>
      <w:bCs/>
      <w:iCs/>
      <w:caps/>
      <w:szCs w:val="28"/>
    </w:rPr>
  </w:style>
  <w:style w:type="paragraph" w:styleId="Heading3">
    <w:name w:val="heading 3"/>
    <w:aliases w:val="Sub"/>
    <w:basedOn w:val="Normal"/>
    <w:next w:val="Normal"/>
    <w:qFormat/>
    <w:rsid w:val="00CE6571"/>
    <w:pPr>
      <w:keepNext/>
      <w:outlineLvl w:val="2"/>
    </w:pPr>
    <w:rPr>
      <w:rFonts w:cs="Arial"/>
      <w:b/>
      <w:bCs/>
      <w:szCs w:val="26"/>
    </w:rPr>
  </w:style>
  <w:style w:type="paragraph" w:styleId="Heading4">
    <w:name w:val="heading 4"/>
    <w:basedOn w:val="Normal"/>
    <w:next w:val="Normal"/>
    <w:qFormat/>
    <w:rsid w:val="00CE6571"/>
    <w:pPr>
      <w:keepNext/>
      <w:spacing w:before="240" w:after="60"/>
      <w:outlineLvl w:val="3"/>
    </w:pPr>
    <w:rPr>
      <w:rFonts w:ascii="Times New Roman" w:hAnsi="Times New Roman"/>
      <w:b/>
      <w:bCs/>
      <w:sz w:val="28"/>
      <w:szCs w:val="28"/>
    </w:rPr>
  </w:style>
  <w:style w:type="paragraph" w:styleId="Heading5">
    <w:name w:val="heading 5"/>
    <w:basedOn w:val="Normal"/>
    <w:next w:val="Normal"/>
    <w:qFormat/>
    <w:rsid w:val="00CE6571"/>
    <w:pPr>
      <w:numPr>
        <w:ilvl w:val="4"/>
        <w:numId w:val="12"/>
      </w:numPr>
      <w:spacing w:before="240" w:after="60"/>
      <w:outlineLvl w:val="4"/>
    </w:pPr>
    <w:rPr>
      <w:b/>
      <w:bCs/>
      <w:i/>
      <w:iCs/>
      <w:sz w:val="26"/>
      <w:szCs w:val="26"/>
    </w:rPr>
  </w:style>
  <w:style w:type="paragraph" w:styleId="Heading6">
    <w:name w:val="heading 6"/>
    <w:basedOn w:val="Normal"/>
    <w:next w:val="Normal"/>
    <w:qFormat/>
    <w:rsid w:val="00CE6571"/>
    <w:pPr>
      <w:numPr>
        <w:ilvl w:val="5"/>
        <w:numId w:val="12"/>
      </w:numPr>
      <w:spacing w:before="240" w:after="60"/>
      <w:outlineLvl w:val="5"/>
    </w:pPr>
    <w:rPr>
      <w:rFonts w:ascii="Times New Roman" w:hAnsi="Times New Roman"/>
      <w:b/>
      <w:bCs/>
      <w:szCs w:val="22"/>
    </w:rPr>
  </w:style>
  <w:style w:type="paragraph" w:styleId="Heading7">
    <w:name w:val="heading 7"/>
    <w:basedOn w:val="Normal"/>
    <w:next w:val="Normal"/>
    <w:qFormat/>
    <w:rsid w:val="00CE6571"/>
    <w:pPr>
      <w:numPr>
        <w:ilvl w:val="6"/>
        <w:numId w:val="12"/>
      </w:numPr>
      <w:spacing w:before="240" w:after="60"/>
      <w:outlineLvl w:val="6"/>
    </w:pPr>
    <w:rPr>
      <w:rFonts w:ascii="Times New Roman" w:hAnsi="Times New Roman"/>
      <w:sz w:val="24"/>
    </w:rPr>
  </w:style>
  <w:style w:type="paragraph" w:styleId="Heading8">
    <w:name w:val="heading 8"/>
    <w:basedOn w:val="Normal"/>
    <w:next w:val="Normal"/>
    <w:qFormat/>
    <w:rsid w:val="00CE6571"/>
    <w:pPr>
      <w:numPr>
        <w:ilvl w:val="7"/>
        <w:numId w:val="12"/>
      </w:numPr>
      <w:spacing w:before="240" w:after="60"/>
      <w:outlineLvl w:val="7"/>
    </w:pPr>
    <w:rPr>
      <w:rFonts w:ascii="Times New Roman" w:hAnsi="Times New Roman"/>
      <w:i/>
      <w:iCs/>
      <w:sz w:val="24"/>
    </w:rPr>
  </w:style>
  <w:style w:type="paragraph" w:styleId="Heading9">
    <w:name w:val="heading 9"/>
    <w:basedOn w:val="Normal"/>
    <w:next w:val="Normal"/>
    <w:qFormat/>
    <w:rsid w:val="00CE6571"/>
    <w:pPr>
      <w:numPr>
        <w:ilvl w:val="8"/>
        <w:numId w:val="12"/>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87A22"/>
    <w:pPr>
      <w:tabs>
        <w:tab w:val="center" w:pos="4153"/>
        <w:tab w:val="right" w:pos="8306"/>
      </w:tabs>
    </w:pPr>
  </w:style>
  <w:style w:type="table" w:styleId="TableGrid">
    <w:name w:val="Table Grid"/>
    <w:basedOn w:val="TableNormal"/>
    <w:rsid w:val="00131ECC"/>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58" w:type="dxa"/>
        <w:bottom w:w="58" w:type="dxa"/>
        <w:right w:w="58" w:type="dxa"/>
      </w:tblCellMar>
    </w:tblPr>
  </w:style>
  <w:style w:type="paragraph" w:styleId="Footer">
    <w:name w:val="footer"/>
    <w:basedOn w:val="Normal"/>
    <w:rsid w:val="00487A22"/>
    <w:pPr>
      <w:tabs>
        <w:tab w:val="center" w:pos="4153"/>
        <w:tab w:val="right" w:pos="8306"/>
      </w:tabs>
    </w:pPr>
  </w:style>
  <w:style w:type="paragraph" w:customStyle="1" w:styleId="TSHeadingNumbered1">
    <w:name w:val="TS Heading Numbered 1."/>
    <w:basedOn w:val="Normal"/>
    <w:rsid w:val="00E32F3B"/>
    <w:pPr>
      <w:numPr>
        <w:numId w:val="12"/>
      </w:numPr>
      <w:spacing w:after="220"/>
      <w:outlineLvl w:val="0"/>
    </w:pPr>
    <w:rPr>
      <w:rFonts w:ascii="Arial Bold" w:hAnsi="Arial Bold"/>
      <w:b/>
      <w:caps/>
    </w:rPr>
  </w:style>
  <w:style w:type="paragraph" w:customStyle="1" w:styleId="TSHeadingNumbered11">
    <w:name w:val="TS Heading Numbered 1.1"/>
    <w:basedOn w:val="TSHeadingNumbered1"/>
    <w:rsid w:val="00CE6571"/>
    <w:pPr>
      <w:numPr>
        <w:ilvl w:val="1"/>
      </w:numPr>
    </w:pPr>
  </w:style>
  <w:style w:type="paragraph" w:customStyle="1" w:styleId="TSHeadingNumbered111">
    <w:name w:val="TS Heading Numbered 1.1.1"/>
    <w:basedOn w:val="TSHeadingNumbered1"/>
    <w:rsid w:val="00CE6571"/>
    <w:pPr>
      <w:numPr>
        <w:ilvl w:val="2"/>
      </w:numPr>
    </w:pPr>
  </w:style>
  <w:style w:type="paragraph" w:customStyle="1" w:styleId="TSHeadingNumbered1111">
    <w:name w:val="TS Heading Numbered 1.1.1.1"/>
    <w:basedOn w:val="TSHeadingNumbered1"/>
    <w:rsid w:val="00CE6571"/>
    <w:pPr>
      <w:numPr>
        <w:ilvl w:val="3"/>
      </w:numPr>
    </w:pPr>
  </w:style>
  <w:style w:type="character" w:styleId="Hyperlink">
    <w:name w:val="Hyperlink"/>
    <w:rsid w:val="009B5159"/>
    <w:rPr>
      <w:color w:val="0000FF"/>
      <w:u w:val="single"/>
    </w:rPr>
  </w:style>
  <w:style w:type="paragraph" w:customStyle="1" w:styleId="TSNumberedParagraph11">
    <w:name w:val="TS Numbered Paragraph 1.1"/>
    <w:basedOn w:val="TSHeadingNumbered11"/>
    <w:rsid w:val="00E32F3B"/>
    <w:rPr>
      <w:rFonts w:ascii="Arial" w:hAnsi="Arial"/>
      <w:b w:val="0"/>
      <w:caps w:val="0"/>
    </w:rPr>
  </w:style>
  <w:style w:type="character" w:customStyle="1" w:styleId="TSExampleText">
    <w:name w:val="TS Example Text"/>
    <w:rsid w:val="009B5159"/>
    <w:rPr>
      <w:i/>
      <w:iCs/>
      <w:color w:val="006D68"/>
    </w:rPr>
  </w:style>
  <w:style w:type="paragraph" w:styleId="TOC1">
    <w:name w:val="toc 1"/>
    <w:basedOn w:val="Normal"/>
    <w:next w:val="Normal"/>
    <w:autoRedefine/>
    <w:semiHidden/>
    <w:rsid w:val="00E32F3B"/>
    <w:pPr>
      <w:tabs>
        <w:tab w:val="left" w:pos="360"/>
        <w:tab w:val="right" w:leader="dot" w:pos="9180"/>
      </w:tabs>
      <w:ind w:left="360" w:hanging="360"/>
    </w:pPr>
    <w:rPr>
      <w:caps/>
    </w:rPr>
  </w:style>
  <w:style w:type="paragraph" w:customStyle="1" w:styleId="TSBullet1Square">
    <w:name w:val="TS Bullet 1 Square"/>
    <w:basedOn w:val="Normal"/>
    <w:rsid w:val="00B504F7"/>
    <w:pPr>
      <w:numPr>
        <w:numId w:val="16"/>
      </w:numPr>
      <w:spacing w:after="240"/>
      <w:contextualSpacing/>
    </w:pPr>
  </w:style>
  <w:style w:type="paragraph" w:customStyle="1" w:styleId="TSBullet2Circle">
    <w:name w:val="TS Bullet 2 Circle"/>
    <w:basedOn w:val="TSBullet1Square"/>
    <w:rsid w:val="00B504F7"/>
    <w:pPr>
      <w:numPr>
        <w:numId w:val="17"/>
      </w:numPr>
    </w:pPr>
  </w:style>
  <w:style w:type="paragraph" w:customStyle="1" w:styleId="TSNumberedParagraph1">
    <w:name w:val="TS Numbered Paragraph 1"/>
    <w:basedOn w:val="TSNumberedParagraph11"/>
    <w:rsid w:val="00E97293"/>
    <w:pPr>
      <w:numPr>
        <w:ilvl w:val="0"/>
        <w:numId w:val="0"/>
      </w:numPr>
      <w:tabs>
        <w:tab w:val="num" w:pos="-31680"/>
      </w:tabs>
      <w:ind w:left="720" w:hanging="720"/>
    </w:pPr>
  </w:style>
  <w:style w:type="paragraph" w:styleId="DocumentMap">
    <w:name w:val="Document Map"/>
    <w:basedOn w:val="Normal"/>
    <w:semiHidden/>
    <w:rsid w:val="00E32F3B"/>
    <w:pPr>
      <w:shd w:val="clear" w:color="auto" w:fill="000080"/>
    </w:pPr>
    <w:rPr>
      <w:rFonts w:ascii="Tahoma" w:hAnsi="Tahoma" w:cs="Tahoma"/>
      <w:sz w:val="20"/>
      <w:szCs w:val="20"/>
    </w:rPr>
  </w:style>
  <w:style w:type="paragraph" w:customStyle="1" w:styleId="StyleTSNumberedParagraph11Justified">
    <w:name w:val="Style TS Numbered Paragraph 1.1 + Justified"/>
    <w:basedOn w:val="TSNumberedParagraph11"/>
    <w:rsid w:val="00E32F3B"/>
    <w:pPr>
      <w:jc w:val="both"/>
    </w:pPr>
    <w:rPr>
      <w:szCs w:val="20"/>
    </w:rPr>
  </w:style>
  <w:style w:type="character" w:customStyle="1" w:styleId="HeaderChar">
    <w:name w:val="Header Char"/>
    <w:link w:val="Header"/>
    <w:locked/>
    <w:rsid w:val="007D545C"/>
    <w:rPr>
      <w:rFonts w:ascii="Arial" w:hAnsi="Arial"/>
      <w:sz w:val="22"/>
      <w:szCs w:val="24"/>
      <w:lang w:val="en-GB" w:eastAsia="en-US" w:bidi="ar-SA"/>
    </w:rPr>
  </w:style>
  <w:style w:type="character" w:styleId="CommentReference">
    <w:name w:val="annotation reference"/>
    <w:rsid w:val="00AE199F"/>
    <w:rPr>
      <w:sz w:val="16"/>
      <w:szCs w:val="16"/>
    </w:rPr>
  </w:style>
  <w:style w:type="paragraph" w:styleId="CommentText">
    <w:name w:val="annotation text"/>
    <w:basedOn w:val="Normal"/>
    <w:link w:val="CommentTextChar"/>
    <w:rsid w:val="00AE199F"/>
    <w:rPr>
      <w:sz w:val="20"/>
      <w:szCs w:val="20"/>
    </w:rPr>
  </w:style>
  <w:style w:type="character" w:customStyle="1" w:styleId="CommentTextChar">
    <w:name w:val="Comment Text Char"/>
    <w:link w:val="CommentText"/>
    <w:rsid w:val="00AE199F"/>
    <w:rPr>
      <w:rFonts w:ascii="Arial" w:hAnsi="Arial"/>
      <w:lang w:eastAsia="en-US"/>
    </w:rPr>
  </w:style>
  <w:style w:type="paragraph" w:styleId="CommentSubject">
    <w:name w:val="annotation subject"/>
    <w:basedOn w:val="CommentText"/>
    <w:next w:val="CommentText"/>
    <w:link w:val="CommentSubjectChar"/>
    <w:rsid w:val="00AE199F"/>
    <w:rPr>
      <w:b/>
      <w:bCs/>
    </w:rPr>
  </w:style>
  <w:style w:type="character" w:customStyle="1" w:styleId="CommentSubjectChar">
    <w:name w:val="Comment Subject Char"/>
    <w:link w:val="CommentSubject"/>
    <w:rsid w:val="00AE199F"/>
    <w:rPr>
      <w:rFonts w:ascii="Arial" w:hAnsi="Arial"/>
      <w:b/>
      <w:bCs/>
      <w:lang w:eastAsia="en-US"/>
    </w:rPr>
  </w:style>
  <w:style w:type="paragraph" w:styleId="BalloonText">
    <w:name w:val="Balloon Text"/>
    <w:basedOn w:val="Normal"/>
    <w:link w:val="BalloonTextChar"/>
    <w:rsid w:val="00AE199F"/>
    <w:rPr>
      <w:rFonts w:ascii="Tahoma" w:hAnsi="Tahoma" w:cs="Tahoma"/>
      <w:sz w:val="16"/>
      <w:szCs w:val="16"/>
    </w:rPr>
  </w:style>
  <w:style w:type="character" w:customStyle="1" w:styleId="BalloonTextChar">
    <w:name w:val="Balloon Text Char"/>
    <w:link w:val="BalloonText"/>
    <w:rsid w:val="00AE199F"/>
    <w:rPr>
      <w:rFonts w:ascii="Tahoma" w:hAnsi="Tahoma" w:cs="Tahoma"/>
      <w:sz w:val="16"/>
      <w:szCs w:val="16"/>
      <w:lang w:eastAsia="en-US"/>
    </w:rPr>
  </w:style>
  <w:style w:type="paragraph" w:styleId="ListParagraph">
    <w:name w:val="List Paragraph"/>
    <w:basedOn w:val="Normal"/>
    <w:qFormat/>
    <w:rsid w:val="00D75DA2"/>
    <w:pPr>
      <w:ind w:left="720"/>
      <w:contextualSpacing/>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863823">
      <w:bodyDiv w:val="1"/>
      <w:marLeft w:val="0"/>
      <w:marRight w:val="0"/>
      <w:marTop w:val="0"/>
      <w:marBottom w:val="0"/>
      <w:divBdr>
        <w:top w:val="none" w:sz="0" w:space="0" w:color="auto"/>
        <w:left w:val="none" w:sz="0" w:space="0" w:color="auto"/>
        <w:bottom w:val="none" w:sz="0" w:space="0" w:color="auto"/>
        <w:right w:val="none" w:sz="0" w:space="0" w:color="auto"/>
      </w:divBdr>
    </w:div>
    <w:div w:id="210728742">
      <w:bodyDiv w:val="1"/>
      <w:marLeft w:val="0"/>
      <w:marRight w:val="0"/>
      <w:marTop w:val="0"/>
      <w:marBottom w:val="0"/>
      <w:divBdr>
        <w:top w:val="none" w:sz="0" w:space="0" w:color="auto"/>
        <w:left w:val="none" w:sz="0" w:space="0" w:color="auto"/>
        <w:bottom w:val="none" w:sz="0" w:space="0" w:color="auto"/>
        <w:right w:val="none" w:sz="0" w:space="0" w:color="auto"/>
      </w:divBdr>
    </w:div>
    <w:div w:id="267662436">
      <w:bodyDiv w:val="1"/>
      <w:marLeft w:val="0"/>
      <w:marRight w:val="0"/>
      <w:marTop w:val="0"/>
      <w:marBottom w:val="0"/>
      <w:divBdr>
        <w:top w:val="none" w:sz="0" w:space="0" w:color="auto"/>
        <w:left w:val="none" w:sz="0" w:space="0" w:color="auto"/>
        <w:bottom w:val="none" w:sz="0" w:space="0" w:color="auto"/>
        <w:right w:val="none" w:sz="0" w:space="0" w:color="auto"/>
      </w:divBdr>
    </w:div>
    <w:div w:id="340084345">
      <w:bodyDiv w:val="1"/>
      <w:marLeft w:val="0"/>
      <w:marRight w:val="0"/>
      <w:marTop w:val="0"/>
      <w:marBottom w:val="0"/>
      <w:divBdr>
        <w:top w:val="none" w:sz="0" w:space="0" w:color="auto"/>
        <w:left w:val="none" w:sz="0" w:space="0" w:color="auto"/>
        <w:bottom w:val="none" w:sz="0" w:space="0" w:color="auto"/>
        <w:right w:val="none" w:sz="0" w:space="0" w:color="auto"/>
      </w:divBdr>
    </w:div>
    <w:div w:id="1267886219">
      <w:bodyDiv w:val="1"/>
      <w:marLeft w:val="0"/>
      <w:marRight w:val="0"/>
      <w:marTop w:val="0"/>
      <w:marBottom w:val="0"/>
      <w:divBdr>
        <w:top w:val="none" w:sz="0" w:space="0" w:color="auto"/>
        <w:left w:val="none" w:sz="0" w:space="0" w:color="auto"/>
        <w:bottom w:val="none" w:sz="0" w:space="0" w:color="auto"/>
        <w:right w:val="none" w:sz="0" w:space="0" w:color="auto"/>
      </w:divBdr>
    </w:div>
    <w:div w:id="1628513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enra.org/"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iaea.org/" TargetMode="External"/><Relationship Id="rId17" Type="http://schemas.openxmlformats.org/officeDocument/2006/relationships/hyperlink" Target="http://www.oecd-nea.org/" TargetMode="External"/><Relationship Id="rId2" Type="http://schemas.openxmlformats.org/officeDocument/2006/relationships/numbering" Target="numbering.xml"/><Relationship Id="rId16" Type="http://schemas.openxmlformats.org/officeDocument/2006/relationships/hyperlink" Target="http://www.ptil.no/?lang=en_US"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hse.gov.uk/research/rrhtm/" TargetMode="External"/><Relationship Id="rId5" Type="http://schemas.openxmlformats.org/officeDocument/2006/relationships/settings" Target="settings.xml"/><Relationship Id="rId15" Type="http://schemas.openxmlformats.org/officeDocument/2006/relationships/hyperlink" Target="http://www.nei.org/" TargetMode="External"/><Relationship Id="rId23" Type="http://schemas.openxmlformats.org/officeDocument/2006/relationships/theme" Target="theme/theme1.xml"/><Relationship Id="rId10" Type="http://schemas.openxmlformats.org/officeDocument/2006/relationships/hyperlink" Target="http://www.onr.org.uk/saps/saps2014.pdf"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onr.org.uk/operational/tech_asst_guides/index.htm" TargetMode="External"/><Relationship Id="rId14" Type="http://schemas.openxmlformats.org/officeDocument/2006/relationships/hyperlink" Target="http://www.inpo.info/"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2781</Words>
  <Characters>16113</Characters>
  <Application>Microsoft Office Word</Application>
  <DocSecurity>4</DocSecurity>
  <Lines>303</Lines>
  <Paragraphs>109</Paragraphs>
  <ScaleCrop>false</ScaleCrop>
  <HeadingPairs>
    <vt:vector size="2" baseType="variant">
      <vt:variant>
        <vt:lpstr>Title</vt:lpstr>
      </vt:variant>
      <vt:variant>
        <vt:i4>1</vt:i4>
      </vt:variant>
    </vt:vector>
  </HeadingPairs>
  <TitlesOfParts>
    <vt:vector size="1" baseType="lpstr">
      <vt:lpstr>Document Type:</vt:lpstr>
    </vt:vector>
  </TitlesOfParts>
  <Company>Health and Safety Executive</Company>
  <LinksUpToDate>false</LinksUpToDate>
  <CharactersWithSpaces>18831</CharactersWithSpaces>
  <SharedDoc>false</SharedDoc>
  <HLinks>
    <vt:vector size="54" baseType="variant">
      <vt:variant>
        <vt:i4>1835094</vt:i4>
      </vt:variant>
      <vt:variant>
        <vt:i4>24</vt:i4>
      </vt:variant>
      <vt:variant>
        <vt:i4>0</vt:i4>
      </vt:variant>
      <vt:variant>
        <vt:i4>5</vt:i4>
      </vt:variant>
      <vt:variant>
        <vt:lpwstr>http://www.oecd-nea.org/</vt:lpwstr>
      </vt:variant>
      <vt:variant>
        <vt:lpwstr/>
      </vt:variant>
      <vt:variant>
        <vt:i4>196653</vt:i4>
      </vt:variant>
      <vt:variant>
        <vt:i4>21</vt:i4>
      </vt:variant>
      <vt:variant>
        <vt:i4>0</vt:i4>
      </vt:variant>
      <vt:variant>
        <vt:i4>5</vt:i4>
      </vt:variant>
      <vt:variant>
        <vt:lpwstr>http://www.ptil.no/?lang=en_US</vt:lpwstr>
      </vt:variant>
      <vt:variant>
        <vt:lpwstr/>
      </vt:variant>
      <vt:variant>
        <vt:i4>2359401</vt:i4>
      </vt:variant>
      <vt:variant>
        <vt:i4>18</vt:i4>
      </vt:variant>
      <vt:variant>
        <vt:i4>0</vt:i4>
      </vt:variant>
      <vt:variant>
        <vt:i4>5</vt:i4>
      </vt:variant>
      <vt:variant>
        <vt:lpwstr>http://www.nei.org/</vt:lpwstr>
      </vt:variant>
      <vt:variant>
        <vt:lpwstr/>
      </vt:variant>
      <vt:variant>
        <vt:i4>1900638</vt:i4>
      </vt:variant>
      <vt:variant>
        <vt:i4>15</vt:i4>
      </vt:variant>
      <vt:variant>
        <vt:i4>0</vt:i4>
      </vt:variant>
      <vt:variant>
        <vt:i4>5</vt:i4>
      </vt:variant>
      <vt:variant>
        <vt:lpwstr>http://www.inpo.info/</vt:lpwstr>
      </vt:variant>
      <vt:variant>
        <vt:lpwstr/>
      </vt:variant>
      <vt:variant>
        <vt:i4>5963803</vt:i4>
      </vt:variant>
      <vt:variant>
        <vt:i4>12</vt:i4>
      </vt:variant>
      <vt:variant>
        <vt:i4>0</vt:i4>
      </vt:variant>
      <vt:variant>
        <vt:i4>5</vt:i4>
      </vt:variant>
      <vt:variant>
        <vt:lpwstr>http://www.wenra.org/</vt:lpwstr>
      </vt:variant>
      <vt:variant>
        <vt:lpwstr/>
      </vt:variant>
      <vt:variant>
        <vt:i4>5505112</vt:i4>
      </vt:variant>
      <vt:variant>
        <vt:i4>9</vt:i4>
      </vt:variant>
      <vt:variant>
        <vt:i4>0</vt:i4>
      </vt:variant>
      <vt:variant>
        <vt:i4>5</vt:i4>
      </vt:variant>
      <vt:variant>
        <vt:lpwstr>http://www.iaea.org/</vt:lpwstr>
      </vt:variant>
      <vt:variant>
        <vt:lpwstr/>
      </vt:variant>
      <vt:variant>
        <vt:i4>13</vt:i4>
      </vt:variant>
      <vt:variant>
        <vt:i4>6</vt:i4>
      </vt:variant>
      <vt:variant>
        <vt:i4>0</vt:i4>
      </vt:variant>
      <vt:variant>
        <vt:i4>5</vt:i4>
      </vt:variant>
      <vt:variant>
        <vt:lpwstr>http://www.hse.gov.uk/research/rrhtm/</vt:lpwstr>
      </vt:variant>
      <vt:variant>
        <vt:lpwstr/>
      </vt:variant>
      <vt:variant>
        <vt:i4>3932269</vt:i4>
      </vt:variant>
      <vt:variant>
        <vt:i4>3</vt:i4>
      </vt:variant>
      <vt:variant>
        <vt:i4>0</vt:i4>
      </vt:variant>
      <vt:variant>
        <vt:i4>5</vt:i4>
      </vt:variant>
      <vt:variant>
        <vt:lpwstr>http://www.onr.org.uk/saps/saps2014.pdf</vt:lpwstr>
      </vt:variant>
      <vt:variant>
        <vt:lpwstr/>
      </vt:variant>
      <vt:variant>
        <vt:i4>6357117</vt:i4>
      </vt:variant>
      <vt:variant>
        <vt:i4>0</vt:i4>
      </vt:variant>
      <vt:variant>
        <vt:i4>0</vt:i4>
      </vt:variant>
      <vt:variant>
        <vt:i4>5</vt:i4>
      </vt:variant>
      <vt:variant>
        <vt:lpwstr>http://www.onr.org.uk/operational/tech_asst_guides/index.htm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Type:</dc:title>
  <dc:creator>Pam Paul</dc:creator>
  <cp:lastModifiedBy>Name</cp:lastModifiedBy>
  <cp:revision>2</cp:revision>
  <cp:lastPrinted>2018-07-04T10:17:00Z</cp:lastPrinted>
  <dcterms:created xsi:type="dcterms:W3CDTF">2018-11-08T10:52:00Z</dcterms:created>
  <dcterms:modified xsi:type="dcterms:W3CDTF">2018-11-08T10:52:00Z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